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E9" w:rsidRDefault="00E67EE9" w:rsidP="00E67EE9">
      <w:pPr>
        <w:rPr>
          <w:rFonts w:asciiTheme="minorHAnsi" w:hAnsiTheme="minorHAnsi"/>
          <w:b/>
          <w:sz w:val="22"/>
          <w:lang w:val="fr-FR"/>
        </w:rPr>
      </w:pPr>
    </w:p>
    <w:p w:rsidR="001C5FFB" w:rsidRDefault="001C5FFB" w:rsidP="00E67EE9">
      <w:pPr>
        <w:rPr>
          <w:rFonts w:asciiTheme="minorHAnsi" w:hAnsiTheme="minorHAnsi"/>
          <w:b/>
          <w:sz w:val="22"/>
          <w:lang w:val="fr-FR"/>
        </w:rPr>
      </w:pPr>
    </w:p>
    <w:p w:rsidR="001C5FFB" w:rsidRPr="001C5FFB" w:rsidRDefault="001C5FFB" w:rsidP="00E67EE9">
      <w:pPr>
        <w:rPr>
          <w:rFonts w:asciiTheme="minorHAnsi" w:hAnsiTheme="minorHAnsi"/>
          <w:b/>
          <w:sz w:val="32"/>
          <w:szCs w:val="32"/>
          <w:lang w:val="fr-FR"/>
        </w:rPr>
      </w:pPr>
      <w:r>
        <w:rPr>
          <w:rFonts w:asciiTheme="minorHAnsi" w:hAnsiTheme="minorHAnsi"/>
          <w:b/>
          <w:sz w:val="22"/>
          <w:lang w:val="fr-FR"/>
        </w:rPr>
        <w:tab/>
      </w:r>
      <w:r>
        <w:rPr>
          <w:rFonts w:asciiTheme="minorHAnsi" w:hAnsiTheme="minorHAnsi"/>
          <w:b/>
          <w:sz w:val="22"/>
          <w:lang w:val="fr-FR"/>
        </w:rPr>
        <w:tab/>
      </w:r>
      <w:r>
        <w:rPr>
          <w:rFonts w:asciiTheme="minorHAnsi" w:hAnsiTheme="minorHAnsi"/>
          <w:b/>
          <w:sz w:val="22"/>
          <w:lang w:val="fr-FR"/>
        </w:rPr>
        <w:tab/>
      </w:r>
      <w:r w:rsidRPr="001C5FFB">
        <w:rPr>
          <w:rFonts w:asciiTheme="minorHAnsi" w:hAnsiTheme="minorHAnsi"/>
          <w:b/>
          <w:sz w:val="32"/>
          <w:szCs w:val="32"/>
          <w:lang w:val="fr-FR"/>
        </w:rPr>
        <w:t>Quantitatif à remplir par le Soumissionnaire</w:t>
      </w:r>
    </w:p>
    <w:p w:rsidR="001C5FFB" w:rsidRDefault="001C5FFB" w:rsidP="00E67EE9">
      <w:pPr>
        <w:rPr>
          <w:rFonts w:asciiTheme="minorHAnsi" w:hAnsiTheme="minorHAnsi"/>
          <w:b/>
          <w:sz w:val="22"/>
          <w:lang w:val="fr-FR"/>
        </w:rPr>
      </w:pPr>
    </w:p>
    <w:p w:rsidR="001C5FFB" w:rsidRPr="003F5A66" w:rsidRDefault="001C5FFB" w:rsidP="00E67EE9">
      <w:pPr>
        <w:rPr>
          <w:rFonts w:asciiTheme="minorHAnsi" w:hAnsiTheme="minorHAnsi"/>
          <w:b/>
          <w:sz w:val="22"/>
          <w:lang w:val="fr-FR"/>
        </w:rPr>
      </w:pPr>
    </w:p>
    <w:p w:rsidR="001C5FFB" w:rsidRDefault="001C5FFB">
      <w:pPr>
        <w:spacing w:after="200" w:line="276" w:lineRule="auto"/>
        <w:rPr>
          <w:rFonts w:asciiTheme="minorHAnsi" w:hAnsiTheme="minorHAnsi" w:cs="Lucida Sans Unicode"/>
          <w:b/>
          <w:bCs/>
          <w:sz w:val="22"/>
          <w:szCs w:val="22"/>
          <w:lang w:val="fr-FR"/>
        </w:rPr>
      </w:pPr>
    </w:p>
    <w:p w:rsidR="00E67EE9" w:rsidRPr="003F5A66" w:rsidRDefault="001C5FFB" w:rsidP="00E67EE9">
      <w:pPr>
        <w:jc w:val="both"/>
        <w:rPr>
          <w:rFonts w:asciiTheme="minorHAnsi" w:hAnsiTheme="minorHAnsi" w:cs="Lucida Sans Unicode"/>
          <w:b/>
          <w:bCs/>
          <w:sz w:val="22"/>
          <w:szCs w:val="22"/>
          <w:u w:val="single"/>
          <w:lang w:val="fr-FR"/>
        </w:rPr>
      </w:pPr>
      <w:r>
        <w:rPr>
          <w:rFonts w:asciiTheme="minorHAnsi" w:hAnsiTheme="minorHAnsi" w:cs="Lucida Sans Unicode"/>
          <w:b/>
          <w:bCs/>
          <w:sz w:val="22"/>
          <w:szCs w:val="22"/>
          <w:lang w:val="fr-FR"/>
        </w:rPr>
        <w:t>1</w:t>
      </w:r>
      <w:r w:rsidR="00E67EE9" w:rsidRPr="003F5A66">
        <w:rPr>
          <w:rFonts w:asciiTheme="minorHAnsi" w:hAnsiTheme="minorHAnsi" w:cs="Lucida Sans Unicode"/>
          <w:b/>
          <w:bCs/>
          <w:sz w:val="22"/>
          <w:szCs w:val="22"/>
          <w:lang w:val="fr-FR"/>
        </w:rPr>
        <w:t>.</w:t>
      </w:r>
      <w:r w:rsidR="00E67EE9" w:rsidRPr="003F5A66">
        <w:rPr>
          <w:rFonts w:asciiTheme="minorHAnsi" w:hAnsiTheme="minorHAnsi" w:cs="Lucida Sans Unicode"/>
          <w:b/>
          <w:bCs/>
          <w:sz w:val="22"/>
          <w:szCs w:val="22"/>
          <w:lang w:val="fr-FR"/>
        </w:rPr>
        <w:tab/>
      </w:r>
      <w:r w:rsidR="00E67EE9" w:rsidRPr="003F5A66">
        <w:rPr>
          <w:rFonts w:asciiTheme="minorHAnsi" w:hAnsiTheme="minorHAnsi" w:cs="Lucida Sans Unicode"/>
          <w:b/>
          <w:bCs/>
          <w:sz w:val="22"/>
          <w:szCs w:val="22"/>
          <w:u w:val="single"/>
          <w:lang w:val="fr-FR"/>
        </w:rPr>
        <w:t>PORTÉE DES EQUIPEMENTS ET APPROVISIONNEMENTS A FOURNIR</w:t>
      </w:r>
    </w:p>
    <w:p w:rsidR="00E67EE9" w:rsidRPr="003F5A66" w:rsidRDefault="00E67EE9" w:rsidP="00E67EE9">
      <w:pPr>
        <w:pStyle w:val="BodyText3"/>
        <w:spacing w:after="0"/>
        <w:rPr>
          <w:rFonts w:asciiTheme="minorHAnsi" w:hAnsiTheme="minorHAnsi" w:cs="Lucida Sans Unicode"/>
          <w:sz w:val="22"/>
          <w:szCs w:val="22"/>
          <w:lang w:val="fr-FR"/>
        </w:rPr>
      </w:pPr>
    </w:p>
    <w:p w:rsidR="00E67EE9" w:rsidRPr="003F5A66" w:rsidRDefault="001C5FFB" w:rsidP="00E67EE9">
      <w:pPr>
        <w:pStyle w:val="BodyText3"/>
        <w:spacing w:after="0"/>
        <w:rPr>
          <w:rFonts w:asciiTheme="minorHAnsi" w:hAnsiTheme="minorHAnsi" w:cs="Lucida Sans Unicode"/>
          <w:b/>
          <w:sz w:val="22"/>
          <w:szCs w:val="22"/>
          <w:lang w:val="fr-FR"/>
        </w:rPr>
      </w:pPr>
      <w:r>
        <w:rPr>
          <w:rFonts w:asciiTheme="minorHAnsi" w:hAnsiTheme="minorHAnsi" w:cs="Lucida Sans Unicode"/>
          <w:b/>
          <w:sz w:val="22"/>
          <w:szCs w:val="22"/>
          <w:lang w:val="fr-FR"/>
        </w:rPr>
        <w:t>1</w:t>
      </w:r>
      <w:r w:rsidR="00E67EE9" w:rsidRPr="003F5A66">
        <w:rPr>
          <w:rFonts w:asciiTheme="minorHAnsi" w:hAnsiTheme="minorHAnsi" w:cs="Lucida Sans Unicode"/>
          <w:b/>
          <w:sz w:val="22"/>
          <w:szCs w:val="22"/>
          <w:lang w:val="fr-FR"/>
        </w:rPr>
        <w:t>.1</w:t>
      </w:r>
      <w:r w:rsidR="00E67EE9" w:rsidRPr="003F5A66">
        <w:rPr>
          <w:rFonts w:asciiTheme="minorHAnsi" w:hAnsiTheme="minorHAnsi" w:cs="Lucida Sans Unicode"/>
          <w:b/>
          <w:sz w:val="22"/>
          <w:szCs w:val="22"/>
          <w:lang w:val="fr-FR"/>
        </w:rPr>
        <w:tab/>
        <w:t>Les éléments ci-dessous doivent être fournis</w:t>
      </w:r>
    </w:p>
    <w:p w:rsidR="00E67EE9" w:rsidRPr="003F5A66" w:rsidRDefault="00E67EE9" w:rsidP="00E67EE9">
      <w:pPr>
        <w:pStyle w:val="BodyText3"/>
        <w:spacing w:after="0"/>
        <w:rPr>
          <w:rFonts w:asciiTheme="minorHAnsi" w:hAnsiTheme="minorHAnsi" w:cs="Lucida Sans Unicode"/>
          <w:sz w:val="22"/>
          <w:szCs w:val="22"/>
          <w:lang w:val="fr-FR"/>
        </w:rPr>
      </w:pPr>
    </w:p>
    <w:tbl>
      <w:tblPr>
        <w:tblW w:w="10980" w:type="dxa"/>
        <w:tblInd w:w="-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099"/>
        <w:gridCol w:w="11"/>
        <w:gridCol w:w="840"/>
        <w:gridCol w:w="708"/>
        <w:gridCol w:w="882"/>
        <w:gridCol w:w="905"/>
        <w:gridCol w:w="905"/>
      </w:tblGrid>
      <w:tr w:rsidR="00E67EE9" w:rsidRPr="001C5FFB" w:rsidTr="00432726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EXIGENCES DE L’ONUDI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A COMPLETER PAR LE SOUMISSIONAIRE</w:t>
            </w:r>
          </w:p>
        </w:tc>
      </w:tr>
      <w:tr w:rsidR="00E67EE9" w:rsidRPr="003F5A66" w:rsidTr="0043272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Article 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Nom et paramètres requis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42921" w:rsidRDefault="00E67EE9" w:rsidP="00FF3A3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Prix Uni</w:t>
            </w:r>
            <w:r w:rsidR="00242921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-</w:t>
            </w:r>
          </w:p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taire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Prix total de l’article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42921" w:rsidRDefault="00E67EE9" w:rsidP="00FF3A3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Confor</w:t>
            </w:r>
            <w:r w:rsidR="00242921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-</w:t>
            </w:r>
          </w:p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mité*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42921" w:rsidRDefault="00E67EE9" w:rsidP="00FF3A3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Remar</w:t>
            </w:r>
            <w:r w:rsidR="00242921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-</w:t>
            </w:r>
          </w:p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ques</w:t>
            </w:r>
          </w:p>
        </w:tc>
      </w:tr>
      <w:tr w:rsidR="00E67EE9" w:rsidRPr="003F5A66" w:rsidTr="00432726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242921" w:rsidRDefault="00242921" w:rsidP="0024292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[USD]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242921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[USD]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Oui/Non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</w:tr>
      <w:tr w:rsidR="00E67EE9" w:rsidRPr="003F5A66" w:rsidTr="00432726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I. Équipements, pièces, approvisionnements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rPr>
                <w:rFonts w:asciiTheme="minorHAnsi" w:eastAsia="Arial Unicode MS" w:hAnsiTheme="minorHAnsi" w:cs="Arial"/>
                <w:bCs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</w:t>
            </w:r>
          </w:p>
        </w:tc>
      </w:tr>
      <w:tr w:rsidR="00E67EE9" w:rsidRPr="001C5FFB" w:rsidTr="00432726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7EE9" w:rsidRPr="003F5A66" w:rsidRDefault="00740D9A" w:rsidP="00740D9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="Lucida Sans Unicode"/>
                <w:b/>
                <w:sz w:val="22"/>
                <w:szCs w:val="22"/>
                <w:lang w:val="fr-FR"/>
              </w:rPr>
              <w:t>SYSTEME D’ANALYSE DIRECTE DU MERCURE</w:t>
            </w:r>
          </w:p>
        </w:tc>
      </w:tr>
      <w:tr w:rsidR="00E67EE9" w:rsidRPr="003F5A66" w:rsidTr="00432726">
        <w:trPr>
          <w:trHeight w:val="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40D9A" w:rsidRPr="00740D9A" w:rsidRDefault="00740D9A" w:rsidP="00740D9A">
            <w:pP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Système d’analyse directe du mercure</w:t>
            </w:r>
          </w:p>
          <w:p w:rsidR="00740D9A" w:rsidRPr="00740D9A" w:rsidRDefault="00740D9A" w:rsidP="008815A7">
            <w:pPr>
              <w:spacing w:after="240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Le système doit permettre l’analyse des échantillons solides et liquides directement sans préparation, et sans mise en solution.</w:t>
            </w:r>
          </w:p>
          <w:p w:rsidR="00740D9A" w:rsidRPr="00740D9A" w:rsidRDefault="008815A7" w:rsidP="00740D9A">
            <w:pPr>
              <w:pStyle w:val="ListParagraph"/>
              <w:numPr>
                <w:ilvl w:val="0"/>
                <w:numId w:val="17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Les séquences d’analyse sont : c</w:t>
            </w:r>
            <w:r w:rsidR="00740D9A"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ombustion, décomposition thermique du mercure, amalgamation et détection par absorption atomique à 253,65 nm conforme à la norme </w:t>
            </w:r>
            <w:r w:rsidR="00740D9A" w:rsidRPr="00740D9A">
              <w:rPr>
                <w:rStyle w:val="hps"/>
                <w:rFonts w:asciiTheme="minorHAnsi" w:hAnsiTheme="minorHAnsi"/>
                <w:i/>
                <w:sz w:val="22"/>
                <w:szCs w:val="22"/>
                <w:lang w:val="fr-FR"/>
              </w:rPr>
              <w:t>US EPA method 7473</w:t>
            </w:r>
            <w:r w:rsidR="00740D9A"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.</w:t>
            </w:r>
          </w:p>
          <w:p w:rsidR="00740D9A" w:rsidRPr="00740D9A" w:rsidRDefault="00740D9A" w:rsidP="00740D9A">
            <w:pPr>
              <w:pStyle w:val="ListParagraph"/>
              <w:numPr>
                <w:ilvl w:val="0"/>
                <w:numId w:val="17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Le système doit-être composé d’un Spectrophotomètre d’analyse du mercure comportant :</w:t>
            </w:r>
          </w:p>
          <w:p w:rsidR="00740D9A" w:rsidRDefault="00740D9A" w:rsidP="00740D9A">
            <w:pPr>
              <w:pStyle w:val="ListParagraph"/>
              <w:numPr>
                <w:ilvl w:val="0"/>
                <w:numId w:val="18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Une cellule de mesure</w:t>
            </w:r>
            <w:r w:rsidR="008815A7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 ;</w:t>
            </w:r>
          </w:p>
          <w:p w:rsidR="00740D9A" w:rsidRDefault="00740D9A" w:rsidP="00740D9A">
            <w:pPr>
              <w:pStyle w:val="ListParagraph"/>
              <w:numPr>
                <w:ilvl w:val="0"/>
                <w:numId w:val="18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Un Four de combustion à température et durée variable</w:t>
            </w:r>
            <w:r w:rsidR="008815A7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 ;</w:t>
            </w:r>
          </w:p>
          <w:p w:rsidR="00740D9A" w:rsidRDefault="00740D9A" w:rsidP="00740D9A">
            <w:pPr>
              <w:pStyle w:val="ListParagraph"/>
              <w:numPr>
                <w:ilvl w:val="0"/>
                <w:numId w:val="18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Un Four d’amalgamation à température et durée variable</w:t>
            </w:r>
            <w:r w:rsidR="008815A7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 ;</w:t>
            </w:r>
          </w:p>
          <w:p w:rsidR="00740D9A" w:rsidRDefault="00740D9A" w:rsidP="00740D9A">
            <w:pPr>
              <w:pStyle w:val="ListParagraph"/>
              <w:numPr>
                <w:ilvl w:val="0"/>
                <w:numId w:val="18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Un Passeur d’échantillon solide et liquide dans 20 positions au minimum</w:t>
            </w:r>
            <w:r w:rsidR="008815A7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 ;</w:t>
            </w:r>
          </w:p>
          <w:p w:rsidR="00740D9A" w:rsidRPr="008815A7" w:rsidRDefault="00740D9A" w:rsidP="008815A7">
            <w:pPr>
              <w:pStyle w:val="ListParagraph"/>
              <w:numPr>
                <w:ilvl w:val="0"/>
                <w:numId w:val="18"/>
              </w:numPr>
              <w:spacing w:after="240"/>
              <w:ind w:left="714" w:hanging="357"/>
              <w:contextualSpacing w:val="0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Un système entièrement automatique</w:t>
            </w:r>
            <w:r w:rsidR="008815A7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.</w:t>
            </w:r>
          </w:p>
          <w:p w:rsidR="00740D9A" w:rsidRPr="00740D9A" w:rsidRDefault="00740D9A" w:rsidP="00740D9A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Le système doit permettre d’analyser les échantillons à des concentrations du mercure dans les marges suivantes :</w:t>
            </w:r>
          </w:p>
          <w:p w:rsidR="00740D9A" w:rsidRPr="00740D9A" w:rsidRDefault="00740D9A" w:rsidP="00740D9A">
            <w:pPr>
              <w:pStyle w:val="ListParagraph"/>
              <w:numPr>
                <w:ilvl w:val="0"/>
                <w:numId w:val="20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Echantillon liquide 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: de 0,1 µg/l à 10 µg/l ou plus</w:t>
            </w: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;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 et,</w:t>
            </w:r>
          </w:p>
          <w:p w:rsidR="00740D9A" w:rsidRPr="008815A7" w:rsidRDefault="00740D9A" w:rsidP="008815A7">
            <w:pPr>
              <w:pStyle w:val="ListParagraph"/>
              <w:numPr>
                <w:ilvl w:val="0"/>
                <w:numId w:val="20"/>
              </w:numPr>
              <w:spacing w:after="240"/>
              <w:ind w:left="714" w:hanging="357"/>
              <w:contextualSpacing w:val="0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Echantillon solide : de10µg/Kg à 10mg/Kg ou plus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.</w:t>
            </w:r>
          </w:p>
          <w:p w:rsidR="001C5FFB" w:rsidRDefault="001C5FFB" w:rsidP="008815A7">
            <w:pPr>
              <w:spacing w:after="240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740D9A" w:rsidRDefault="00740D9A" w:rsidP="008815A7">
            <w:pPr>
              <w:spacing w:after="240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Le système doit permettre une </w:t>
            </w: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introduction jusqu’à 1,5 ml ou équivalent</w:t>
            </w:r>
            <w:r w:rsidR="00887AB4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pour les échantillons liquides, et 1,5 g pour les solides ou équivalent.</w:t>
            </w:r>
          </w:p>
          <w:p w:rsidR="00242921" w:rsidRDefault="00740D9A" w:rsidP="008815A7">
            <w:pPr>
              <w:spacing w:after="240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lastRenderedPageBreak/>
              <w:t xml:space="preserve">La </w:t>
            </w: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Durée d’analyse </w:t>
            </w:r>
            <w:r w:rsid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doit </w:t>
            </w:r>
            <w:r w:rsidR="00242921">
              <w:rPr>
                <w:rStyle w:val="hps"/>
                <w:rFonts w:asciiTheme="minorHAnsi" w:hAnsiTheme="minorHAnsi"/>
                <w:sz w:val="22"/>
                <w:szCs w:val="22"/>
                <w:lang w:val="fr-CH"/>
              </w:rPr>
              <w:t>ê</w:t>
            </w:r>
            <w:r w:rsid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tre de </w:t>
            </w: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7 min </w:t>
            </w:r>
            <w:r w:rsid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au </w:t>
            </w:r>
            <w:r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maximum.</w:t>
            </w:r>
          </w:p>
          <w:p w:rsidR="00242921" w:rsidRDefault="00242921" w:rsidP="00650899">
            <w:pPr>
              <w:spacing w:after="240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La t</w:t>
            </w:r>
            <w:r w:rsidR="00740D9A"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ension d’alimentation 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doit être de </w:t>
            </w:r>
            <w:r w:rsidR="00740D9A" w:rsidRPr="00740D9A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220V 50Hz.</w:t>
            </w:r>
          </w:p>
          <w:p w:rsidR="001C5FFB" w:rsidRDefault="001C5FFB" w:rsidP="00740D9A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242921" w:rsidRPr="00740D9A" w:rsidRDefault="00242921" w:rsidP="00740D9A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bookmarkStart w:id="0" w:name="_GoBack"/>
            <w:bookmarkEnd w:id="0"/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De plus :</w:t>
            </w:r>
          </w:p>
          <w:p w:rsidR="00740D9A" w:rsidRPr="00242921" w:rsidRDefault="00740D9A" w:rsidP="00242921">
            <w:pPr>
              <w:pStyle w:val="ListParagraph"/>
              <w:numPr>
                <w:ilvl w:val="0"/>
                <w:numId w:val="21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L’appareillage doit être livré avec tous les accessoires d</w:t>
            </w:r>
            <w:r w:rsid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u gaz vecteur ;</w:t>
            </w:r>
          </w:p>
          <w:p w:rsidR="00740D9A" w:rsidRDefault="00740D9A" w:rsidP="00242921">
            <w:pPr>
              <w:pStyle w:val="ListParagraph"/>
              <w:numPr>
                <w:ilvl w:val="0"/>
                <w:numId w:val="21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Il doit être livré avec un système de refro</w:t>
            </w:r>
            <w:r w:rsid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idissement en cas de nécessité ; et,</w:t>
            </w:r>
          </w:p>
          <w:p w:rsidR="00A0315B" w:rsidRPr="00A0315B" w:rsidRDefault="00242921" w:rsidP="00432726">
            <w:pPr>
              <w:pStyle w:val="ListParagraph"/>
              <w:numPr>
                <w:ilvl w:val="0"/>
                <w:numId w:val="21"/>
              </w:num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Le système doit être livré avec un certificat de conformité.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3F5A66" w:rsidP="00740D9A">
            <w:pPr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67EE9" w:rsidRPr="00242921" w:rsidTr="00432726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sz w:val="22"/>
                <w:szCs w:val="22"/>
                <w:lang w:val="fr-FR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24292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242921" w:rsidRDefault="00242921" w:rsidP="0024292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Afin de piloter l</w:t>
            </w: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e système 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d’analyse direct du mercure, </w:t>
            </w:r>
            <w:r w:rsidRPr="00242921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une unité de contrôle compacte ou un ordinateur externe, </w:t>
            </w:r>
            <w:r w:rsidRPr="00432726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avec </w:t>
            </w:r>
            <w:r w:rsidR="00650899" w:rsidRPr="00432726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dans </w:t>
            </w:r>
            <w:r w:rsidRPr="00432726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ce</w:t>
            </w:r>
            <w:r w:rsidRPr="00242921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cas un CD original du logiciel avec licence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.</w:t>
            </w:r>
          </w:p>
          <w:p w:rsidR="00E67EE9" w:rsidRPr="003F5A66" w:rsidRDefault="00242921" w:rsidP="00432726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Le système ou l’unité externe</w:t>
            </w: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CH"/>
              </w:rPr>
              <w:t>/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CH"/>
              </w:rPr>
              <w:t xml:space="preserve">ordinateur externe </w:t>
            </w: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doit permettre l’enregistrement des paramètres de l’échantillon, de calibration, four -température, méthode d’analyse.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242921" w:rsidP="00FF3A31">
            <w:pPr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67EE9" w:rsidRPr="00242921" w:rsidTr="00432726">
        <w:trPr>
          <w:trHeight w:val="2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5FFB" w:rsidRDefault="001C5FFB" w:rsidP="0024292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E67EE9" w:rsidRPr="003F5A66" w:rsidRDefault="00242921" w:rsidP="0024292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Le système </w:t>
            </w:r>
            <w:r w:rsidRPr="0043272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d’analyse direct</w:t>
            </w:r>
            <w:r w:rsidR="00650899" w:rsidRPr="0043272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e</w:t>
            </w:r>
            <w:r w:rsidRPr="0043272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 du mercure</w:t>
            </w:r>
            <w:r w:rsidR="00887AB4" w:rsidRPr="0043272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43272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doit</w:t>
            </w: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 être livré avec une </w:t>
            </w:r>
            <w:r w:rsidRPr="00242921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imprimante</w:t>
            </w: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242921" w:rsidP="00FF3A31">
            <w:pPr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67EE9" w:rsidRPr="00242921" w:rsidTr="00432726">
        <w:trPr>
          <w:trHeight w:val="4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E67EE9" w:rsidRPr="003F5A66" w:rsidRDefault="00E67EE9" w:rsidP="00FF3A31">
            <w:pPr>
              <w:jc w:val="center"/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3F5A66">
              <w:rPr>
                <w:rFonts w:asciiTheme="minorHAnsi" w:hAnsiTheme="minorHAnsi" w:cs="Arial"/>
                <w:sz w:val="22"/>
                <w:szCs w:val="22"/>
                <w:lang w:val="fr-FR"/>
              </w:rPr>
              <w:t>4.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5FFB" w:rsidRDefault="001C5FFB" w:rsidP="0024292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242921" w:rsidRPr="00242921" w:rsidRDefault="00242921" w:rsidP="0024292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Livraison </w:t>
            </w: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de</w:t>
            </w:r>
            <w:r w:rsidR="00887AB4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242921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consommables pour 1000 tests</w:t>
            </w: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.</w:t>
            </w:r>
          </w:p>
          <w:p w:rsidR="00E67EE9" w:rsidRPr="003F5A66" w:rsidRDefault="00E67EE9" w:rsidP="0024292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242921" w:rsidP="00FF3A31">
            <w:pPr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67EE9" w:rsidRPr="00242921" w:rsidTr="00432726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E67EE9" w:rsidRPr="003F5A66" w:rsidRDefault="00432726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5.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E67EE9" w:rsidRPr="003F5A66" w:rsidRDefault="00242921" w:rsidP="00FF3A3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242921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 xml:space="preserve">Assurer la </w:t>
            </w:r>
            <w:r w:rsidRPr="00242921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mise en marche, la formation et les vérifications</w:t>
            </w:r>
            <w:r w:rsidR="00650899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242921" w:rsidRDefault="00242921" w:rsidP="00FF3A31">
            <w:pPr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67EE9" w:rsidRPr="001C5FFB" w:rsidTr="0043272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E67EE9" w:rsidRPr="003F5A66" w:rsidRDefault="00E67EE9" w:rsidP="00FF3A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Coût du transport </w:t>
            </w:r>
            <w:r w:rsidR="00242921">
              <w:rPr>
                <w:rFonts w:asciiTheme="minorHAnsi" w:hAnsiTheme="minorHAnsi" w:cs="Arial"/>
                <w:sz w:val="22"/>
                <w:szCs w:val="22"/>
                <w:lang w:val="fr-FR"/>
              </w:rPr>
              <w:t>et d’installation</w:t>
            </w:r>
            <w:r w:rsidR="00650899">
              <w:rPr>
                <w:rFonts w:asciiTheme="minorHAnsi" w:hAnsiTheme="minorHAnsi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67EE9" w:rsidRPr="001C5FFB" w:rsidTr="0043272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E67EE9" w:rsidRPr="003F5A66" w:rsidRDefault="00E67EE9" w:rsidP="00FF3A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F5A66">
              <w:rPr>
                <w:rFonts w:asciiTheme="minorHAnsi" w:hAnsiTheme="minorHAnsi" w:cs="Arial"/>
                <w:sz w:val="22"/>
                <w:szCs w:val="22"/>
                <w:lang w:val="fr-FR"/>
              </w:rPr>
              <w:t>Coût de l’assurance (si nécessaire)</w:t>
            </w:r>
            <w:r w:rsidR="00650899">
              <w:rPr>
                <w:rFonts w:asciiTheme="minorHAnsi" w:hAnsiTheme="minorHAnsi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67EE9" w:rsidRPr="003F5A66" w:rsidTr="0043272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3F5A66" w:rsidRDefault="00E67EE9" w:rsidP="00FF3A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5FFB" w:rsidRDefault="001C5FFB" w:rsidP="00FF3A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  <w:p w:rsidR="00E67EE9" w:rsidRPr="00A0315B" w:rsidRDefault="00E67EE9" w:rsidP="00FF3A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0315B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Prix total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EE9" w:rsidRPr="00A0315B" w:rsidRDefault="00E67EE9" w:rsidP="00FF3A31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</w:tr>
    </w:tbl>
    <w:p w:rsidR="00E67EE9" w:rsidRPr="003F5A66" w:rsidRDefault="00E67EE9" w:rsidP="00E67EE9">
      <w:pPr>
        <w:rPr>
          <w:rFonts w:asciiTheme="minorHAnsi" w:hAnsiTheme="minorHAnsi" w:cs="Arial"/>
          <w:sz w:val="22"/>
          <w:szCs w:val="22"/>
          <w:lang w:val="fr-FR"/>
        </w:rPr>
      </w:pPr>
    </w:p>
    <w:p w:rsidR="001C5FFB" w:rsidRDefault="001C5FFB" w:rsidP="00E67EE9">
      <w:pPr>
        <w:jc w:val="both"/>
        <w:rPr>
          <w:rFonts w:asciiTheme="minorHAnsi" w:hAnsiTheme="minorHAnsi" w:cs="Lucida Sans Unicode"/>
          <w:b/>
          <w:bCs/>
          <w:sz w:val="22"/>
          <w:szCs w:val="22"/>
          <w:lang w:val="fr-FR"/>
        </w:rPr>
      </w:pPr>
    </w:p>
    <w:p w:rsidR="001C5FFB" w:rsidRDefault="001C5FFB" w:rsidP="00E67EE9">
      <w:pPr>
        <w:jc w:val="both"/>
        <w:rPr>
          <w:rFonts w:asciiTheme="minorHAnsi" w:hAnsiTheme="minorHAnsi" w:cs="Lucida Sans Unicode"/>
          <w:b/>
          <w:bCs/>
          <w:sz w:val="22"/>
          <w:szCs w:val="22"/>
          <w:lang w:val="fr-FR"/>
        </w:rPr>
      </w:pPr>
    </w:p>
    <w:p w:rsidR="00E67EE9" w:rsidRPr="003F5A66" w:rsidRDefault="00E67EE9" w:rsidP="00E67EE9">
      <w:pPr>
        <w:jc w:val="both"/>
        <w:rPr>
          <w:rFonts w:asciiTheme="minorHAnsi" w:hAnsiTheme="minorHAnsi" w:cs="Lucida Sans Unicode"/>
          <w:b/>
          <w:bCs/>
          <w:sz w:val="22"/>
          <w:szCs w:val="22"/>
          <w:lang w:val="fr-FR"/>
        </w:rPr>
      </w:pPr>
      <w:r w:rsidRPr="003F5A66">
        <w:rPr>
          <w:rFonts w:asciiTheme="minorHAnsi" w:hAnsiTheme="minorHAnsi" w:cs="Lucida Sans Unicode"/>
          <w:b/>
          <w:bCs/>
          <w:sz w:val="22"/>
          <w:szCs w:val="22"/>
          <w:lang w:val="fr-FR"/>
        </w:rPr>
        <w:t>Lieu de livraison</w:t>
      </w:r>
    </w:p>
    <w:p w:rsidR="00A61DD1" w:rsidRPr="003F5A66" w:rsidRDefault="00A61DD1" w:rsidP="00A61DD1">
      <w:pPr>
        <w:rPr>
          <w:rFonts w:asciiTheme="minorHAnsi" w:hAnsiTheme="minorHAnsi"/>
          <w:b/>
          <w:sz w:val="22"/>
          <w:szCs w:val="22"/>
          <w:u w:val="single"/>
          <w:lang w:val="fr-FR"/>
        </w:rPr>
      </w:pPr>
    </w:p>
    <w:tbl>
      <w:tblPr>
        <w:tblpPr w:leftFromText="180" w:rightFromText="180" w:vertAnchor="text" w:horzAnchor="margin" w:tblpXSpec="center" w:tblpY="20"/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842"/>
        <w:gridCol w:w="2268"/>
        <w:gridCol w:w="1134"/>
        <w:gridCol w:w="1611"/>
      </w:tblGrid>
      <w:tr w:rsidR="00A0315B" w:rsidRPr="00C36234" w:rsidTr="004264F7">
        <w:trPr>
          <w:trHeight w:val="491"/>
        </w:trPr>
        <w:tc>
          <w:tcPr>
            <w:tcW w:w="2802" w:type="dxa"/>
            <w:shd w:val="clear" w:color="auto" w:fill="D9D9D9"/>
          </w:tcPr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DESIGNATION</w:t>
            </w:r>
          </w:p>
        </w:tc>
        <w:tc>
          <w:tcPr>
            <w:tcW w:w="1842" w:type="dxa"/>
            <w:shd w:val="clear" w:color="auto" w:fill="D9D9D9"/>
          </w:tcPr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3F5A66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PERSONNE DE CONTACT</w:t>
            </w:r>
          </w:p>
        </w:tc>
        <w:tc>
          <w:tcPr>
            <w:tcW w:w="2268" w:type="dxa"/>
            <w:shd w:val="clear" w:color="auto" w:fill="D9D9D9"/>
          </w:tcPr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3F5A66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CONTACT TELEPHONIQUE</w:t>
            </w:r>
          </w:p>
        </w:tc>
        <w:tc>
          <w:tcPr>
            <w:tcW w:w="1134" w:type="dxa"/>
            <w:shd w:val="clear" w:color="auto" w:fill="D9D9D9"/>
          </w:tcPr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3F5A66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LOCALITE</w:t>
            </w:r>
          </w:p>
        </w:tc>
        <w:tc>
          <w:tcPr>
            <w:tcW w:w="1611" w:type="dxa"/>
            <w:shd w:val="clear" w:color="auto" w:fill="D9D9D9"/>
          </w:tcPr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3F5A66"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INDICATIONS</w:t>
            </w:r>
          </w:p>
        </w:tc>
      </w:tr>
      <w:tr w:rsidR="00A0315B" w:rsidRPr="003F5A66" w:rsidTr="004264F7">
        <w:trPr>
          <w:trHeight w:val="477"/>
        </w:trPr>
        <w:tc>
          <w:tcPr>
            <w:tcW w:w="2802" w:type="dxa"/>
          </w:tcPr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b/>
                <w:sz w:val="22"/>
                <w:szCs w:val="22"/>
                <w:lang w:val="fr-FR"/>
              </w:rPr>
              <w:t>CITET</w:t>
            </w:r>
          </w:p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 w:rsidRPr="003F5A6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A0315B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Centre International des Technolog</w:t>
            </w:r>
            <w:r w:rsidR="00BB578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ies de l'Environnement de Tunis</w:t>
            </w:r>
            <w:r w:rsidRPr="003F5A66"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1842" w:type="dxa"/>
            <w:vAlign w:val="center"/>
          </w:tcPr>
          <w:p w:rsidR="00A0315B" w:rsidRPr="003F5A66" w:rsidRDefault="00650899" w:rsidP="00FF3A3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Hmida NAOUALI</w:t>
            </w:r>
          </w:p>
        </w:tc>
        <w:tc>
          <w:tcPr>
            <w:tcW w:w="2268" w:type="dxa"/>
            <w:vAlign w:val="center"/>
          </w:tcPr>
          <w:p w:rsidR="00A0315B" w:rsidRPr="004264F7" w:rsidRDefault="004264F7" w:rsidP="00A0315B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4264F7">
              <w:rPr>
                <w:rStyle w:val="hps"/>
                <w:rFonts w:asciiTheme="minorHAnsi" w:hAnsiTheme="minorHAnsi"/>
                <w:sz w:val="22"/>
                <w:szCs w:val="22"/>
              </w:rPr>
              <w:t>Tel. + 216 71 206 646</w:t>
            </w:r>
          </w:p>
          <w:p w:rsidR="004264F7" w:rsidRPr="004264F7" w:rsidRDefault="004264F7" w:rsidP="00A0315B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4264F7">
              <w:rPr>
                <w:rStyle w:val="hps"/>
                <w:rFonts w:asciiTheme="minorHAnsi" w:hAnsiTheme="minorHAnsi"/>
                <w:sz w:val="22"/>
                <w:szCs w:val="22"/>
              </w:rPr>
              <w:t>Fax + 216 71 206 642</w:t>
            </w:r>
          </w:p>
          <w:p w:rsidR="004264F7" w:rsidRPr="004264F7" w:rsidRDefault="004264F7" w:rsidP="00A0315B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4264F7">
              <w:rPr>
                <w:rStyle w:val="hps"/>
                <w:rFonts w:asciiTheme="minorHAnsi" w:hAnsiTheme="minorHAnsi"/>
                <w:sz w:val="22"/>
                <w:szCs w:val="22"/>
              </w:rPr>
              <w:t>Emal : dg@citet.nat.tn</w:t>
            </w:r>
          </w:p>
        </w:tc>
        <w:tc>
          <w:tcPr>
            <w:tcW w:w="1134" w:type="dxa"/>
            <w:vAlign w:val="center"/>
          </w:tcPr>
          <w:p w:rsidR="00A0315B" w:rsidRPr="003F5A66" w:rsidRDefault="00C36234" w:rsidP="00FF3A3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  <w:t>Tunis, Tunisie</w:t>
            </w:r>
          </w:p>
        </w:tc>
        <w:tc>
          <w:tcPr>
            <w:tcW w:w="1611" w:type="dxa"/>
          </w:tcPr>
          <w:p w:rsidR="00A0315B" w:rsidRPr="003F5A66" w:rsidRDefault="00A0315B" w:rsidP="00FF3A31">
            <w:pPr>
              <w:rPr>
                <w:rStyle w:val="hps"/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A61DD1" w:rsidRPr="003F5A66" w:rsidRDefault="00A61DD1" w:rsidP="00A61DD1">
      <w:pPr>
        <w:pStyle w:val="BodyText"/>
        <w:spacing w:after="0"/>
        <w:ind w:left="709"/>
        <w:jc w:val="both"/>
        <w:rPr>
          <w:rFonts w:asciiTheme="minorHAnsi" w:hAnsiTheme="minorHAnsi"/>
          <w:sz w:val="22"/>
          <w:szCs w:val="22"/>
          <w:lang w:val="fr-FR"/>
        </w:rPr>
      </w:pPr>
    </w:p>
    <w:sectPr w:rsidR="00A61DD1" w:rsidRPr="003F5A66" w:rsidSect="00516E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77" w:right="1418" w:bottom="975" w:left="1134" w:header="720" w:footer="720" w:gutter="0"/>
      <w:cols w:space="720" w:equalWidth="0">
        <w:col w:w="9691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27" w:rsidRDefault="00217227">
      <w:r>
        <w:separator/>
      </w:r>
    </w:p>
  </w:endnote>
  <w:endnote w:type="continuationSeparator" w:id="0">
    <w:p w:rsidR="00217227" w:rsidRDefault="0021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D" w:rsidRDefault="000E66DB">
    <w:pPr>
      <w:pStyle w:val="Footer"/>
      <w:jc w:val="center"/>
    </w:pPr>
    <w:r>
      <w:t xml:space="preserve">Page </w:t>
    </w:r>
    <w:r w:rsidR="007714CE">
      <w:fldChar w:fldCharType="begin"/>
    </w:r>
    <w:r>
      <w:instrText xml:space="preserve"> PAGE </w:instrText>
    </w:r>
    <w:r w:rsidR="007714CE">
      <w:fldChar w:fldCharType="separate"/>
    </w:r>
    <w:r w:rsidR="00047F62">
      <w:rPr>
        <w:noProof/>
      </w:rPr>
      <w:t>2</w:t>
    </w:r>
    <w:r w:rsidR="007714CE">
      <w:fldChar w:fldCharType="end"/>
    </w:r>
    <w:r>
      <w:t xml:space="preserve"> of </w:t>
    </w:r>
    <w:r w:rsidR="007714CE">
      <w:fldChar w:fldCharType="begin"/>
    </w:r>
    <w:r w:rsidR="00C72F40">
      <w:instrText xml:space="preserve"> NUMPAGES </w:instrText>
    </w:r>
    <w:r w:rsidR="007714CE">
      <w:fldChar w:fldCharType="separate"/>
    </w:r>
    <w:r w:rsidR="00047F62">
      <w:rPr>
        <w:noProof/>
      </w:rPr>
      <w:t>2</w:t>
    </w:r>
    <w:r w:rsidR="007714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D" w:rsidRDefault="000E66DB">
    <w:pPr>
      <w:pStyle w:val="Footer"/>
      <w:jc w:val="center"/>
    </w:pPr>
    <w:r>
      <w:t xml:space="preserve">Page </w:t>
    </w:r>
    <w:r w:rsidR="007714CE">
      <w:fldChar w:fldCharType="begin"/>
    </w:r>
    <w:r>
      <w:instrText xml:space="preserve"> PAGE </w:instrText>
    </w:r>
    <w:r w:rsidR="007714CE">
      <w:fldChar w:fldCharType="separate"/>
    </w:r>
    <w:r>
      <w:rPr>
        <w:noProof/>
      </w:rPr>
      <w:t>1</w:t>
    </w:r>
    <w:r w:rsidR="007714CE">
      <w:fldChar w:fldCharType="end"/>
    </w:r>
    <w:r>
      <w:t xml:space="preserve"> of </w:t>
    </w:r>
    <w:r w:rsidR="007714CE">
      <w:fldChar w:fldCharType="begin"/>
    </w:r>
    <w:r w:rsidR="00C72F40">
      <w:instrText xml:space="preserve"> NUMPAGES </w:instrText>
    </w:r>
    <w:r w:rsidR="007714CE">
      <w:fldChar w:fldCharType="separate"/>
    </w:r>
    <w:r w:rsidR="00B918B6">
      <w:rPr>
        <w:noProof/>
      </w:rPr>
      <w:t>4</w:t>
    </w:r>
    <w:r w:rsidR="007714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27" w:rsidRDefault="00217227">
      <w:r>
        <w:separator/>
      </w:r>
    </w:p>
  </w:footnote>
  <w:footnote w:type="continuationSeparator" w:id="0">
    <w:p w:rsidR="00217227" w:rsidRDefault="0021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D" w:rsidRDefault="007714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66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25D" w:rsidRDefault="00047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D" w:rsidRDefault="00047F62">
    <w:pPr>
      <w:pStyle w:val="Header"/>
      <w:framePr w:wrap="around" w:vAnchor="text" w:hAnchor="margin" w:xAlign="center" w:y="1"/>
      <w:rPr>
        <w:rStyle w:val="PageNumber"/>
      </w:rPr>
    </w:pPr>
  </w:p>
  <w:p w:rsidR="007B325D" w:rsidRPr="00967332" w:rsidRDefault="000E66DB" w:rsidP="00967332">
    <w:pPr>
      <w:pStyle w:val="Header"/>
      <w:rPr>
        <w:rFonts w:asciiTheme="minorHAnsi" w:hAnsiTheme="minorHAnsi" w:cs="Lucida Sans Unicode"/>
        <w:b/>
        <w:bCs/>
        <w:sz w:val="16"/>
        <w:szCs w:val="16"/>
        <w:lang w:val="fr-FR"/>
      </w:rPr>
    </w:pPr>
    <w:r w:rsidRPr="00967332">
      <w:rPr>
        <w:rFonts w:asciiTheme="minorHAnsi" w:hAnsiTheme="minorHAnsi" w:cs="Lucida Sans Unicode"/>
        <w:b/>
        <w:bCs/>
        <w:sz w:val="16"/>
        <w:szCs w:val="16"/>
        <w:lang w:val="fr-FR"/>
      </w:rPr>
      <w:t>SPECIFICATIONS TECHNIQUES</w:t>
    </w:r>
  </w:p>
  <w:p w:rsidR="007B325D" w:rsidRPr="00967332" w:rsidRDefault="000E66DB" w:rsidP="00967332">
    <w:pPr>
      <w:pStyle w:val="Header"/>
      <w:rPr>
        <w:rFonts w:asciiTheme="minorHAnsi" w:hAnsiTheme="minorHAnsi" w:cs="Lucida Sans Unicode"/>
        <w:b/>
        <w:bCs/>
        <w:sz w:val="16"/>
        <w:szCs w:val="16"/>
        <w:lang w:val="fr-FR"/>
      </w:rPr>
    </w:pPr>
    <w:r w:rsidRPr="00967332">
      <w:rPr>
        <w:rFonts w:asciiTheme="minorHAnsi" w:hAnsiTheme="minorHAnsi" w:cs="Lucida Sans Unicode"/>
        <w:b/>
        <w:bCs/>
        <w:sz w:val="16"/>
        <w:szCs w:val="16"/>
        <w:lang w:val="fr-FR"/>
      </w:rPr>
      <w:t>SAP ID: 120</w:t>
    </w:r>
    <w:r w:rsidR="00967332">
      <w:rPr>
        <w:rFonts w:asciiTheme="minorHAnsi" w:hAnsiTheme="minorHAnsi" w:cs="Lucida Sans Unicode"/>
        <w:b/>
        <w:bCs/>
        <w:sz w:val="16"/>
        <w:szCs w:val="16"/>
        <w:lang w:val="fr-FR"/>
      </w:rPr>
      <w:t>575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D" w:rsidRDefault="000E66DB" w:rsidP="00BF6EC2">
    <w:pPr>
      <w:pStyle w:val="Header"/>
      <w:jc w:val="center"/>
      <w:rPr>
        <w:rFonts w:ascii="Lucida Sans Unicode" w:hAnsi="Lucida Sans Unicode" w:cs="Lucida Sans Unicode"/>
        <w:b/>
        <w:bCs/>
      </w:rPr>
    </w:pPr>
    <w:r>
      <w:rPr>
        <w:rFonts w:ascii="Lucida Sans Unicode" w:hAnsi="Lucida Sans Unicode" w:cs="Lucida Sans Unicode"/>
        <w:b/>
        <w:bCs/>
      </w:rPr>
      <w:t>TECHNICAL SPECIFICATIONS</w:t>
    </w:r>
  </w:p>
  <w:p w:rsidR="007B325D" w:rsidRDefault="000E66DB" w:rsidP="00BF6EC2">
    <w:pPr>
      <w:pStyle w:val="Header"/>
      <w:jc w:val="center"/>
      <w:rPr>
        <w:rFonts w:ascii="Lucida Sans Unicode" w:hAnsi="Lucida Sans Unicode" w:cs="Lucida Sans Unicode"/>
        <w:b/>
        <w:bCs/>
      </w:rPr>
    </w:pPr>
    <w:r>
      <w:rPr>
        <w:rFonts w:ascii="Lucida Sans Unicode" w:hAnsi="Lucida Sans Unicode" w:cs="Lucida Sans Unicode"/>
        <w:b/>
        <w:bCs/>
      </w:rPr>
      <w:t>EE/MOZ/08/001-</w:t>
    </w:r>
    <w:r w:rsidRPr="003947DC">
      <w:rPr>
        <w:rFonts w:ascii="Lucida Sans Unicode" w:hAnsi="Lucida Sans Unicode" w:cs="Lucida Sans Unicode"/>
        <w:b/>
        <w:bCs/>
        <w:highlight w:val="red"/>
      </w:rPr>
      <w:t>xxxx-xxxx</w:t>
    </w:r>
  </w:p>
  <w:p w:rsidR="007B325D" w:rsidRDefault="000E66DB" w:rsidP="00BF6EC2">
    <w:pPr>
      <w:pStyle w:val="Header"/>
      <w:jc w:val="center"/>
      <w:rPr>
        <w:rFonts w:ascii="Lucida Sans Unicode" w:hAnsi="Lucida Sans Unicode" w:cs="Lucida Sans Unicode"/>
        <w:b/>
        <w:bCs/>
      </w:rPr>
    </w:pPr>
    <w:r>
      <w:rPr>
        <w:rFonts w:ascii="Lucida Sans Unicode" w:hAnsi="Lucida Sans Unicode" w:cs="Lucida Sans Unicode"/>
        <w:b/>
        <w:bCs/>
      </w:rPr>
      <w:t>AT(Analyst’s Notebook)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F27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B48C1"/>
    <w:multiLevelType w:val="hybridMultilevel"/>
    <w:tmpl w:val="0D5A8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48D4"/>
    <w:multiLevelType w:val="hybridMultilevel"/>
    <w:tmpl w:val="6314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942"/>
    <w:multiLevelType w:val="hybridMultilevel"/>
    <w:tmpl w:val="73CA65CC"/>
    <w:lvl w:ilvl="0" w:tplc="EC60E128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48479E"/>
    <w:multiLevelType w:val="multilevel"/>
    <w:tmpl w:val="69B6D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15FE6880"/>
    <w:multiLevelType w:val="multilevel"/>
    <w:tmpl w:val="A87E5544"/>
    <w:lvl w:ilvl="0">
      <w:start w:val="1"/>
      <w:numFmt w:val="decimal"/>
      <w:lvlText w:val="%1."/>
      <w:lvlJc w:val="left"/>
      <w:pPr>
        <w:ind w:left="200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440"/>
      </w:pPr>
      <w:rPr>
        <w:rFonts w:cs="Times New Roman" w:hint="default"/>
      </w:rPr>
    </w:lvl>
  </w:abstractNum>
  <w:abstractNum w:abstractNumId="6">
    <w:nsid w:val="1ABB3C14"/>
    <w:multiLevelType w:val="hybridMultilevel"/>
    <w:tmpl w:val="1FB8440E"/>
    <w:lvl w:ilvl="0" w:tplc="7CC65A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0C9F"/>
    <w:multiLevelType w:val="hybridMultilevel"/>
    <w:tmpl w:val="A7EC9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2E57"/>
    <w:multiLevelType w:val="hybridMultilevel"/>
    <w:tmpl w:val="AA1A3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0D46"/>
    <w:multiLevelType w:val="hybridMultilevel"/>
    <w:tmpl w:val="AFF27E9E"/>
    <w:lvl w:ilvl="0" w:tplc="EC60E1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F259E"/>
    <w:multiLevelType w:val="hybridMultilevel"/>
    <w:tmpl w:val="73CE3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573"/>
    <w:multiLevelType w:val="hybridMultilevel"/>
    <w:tmpl w:val="A72E3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F3311"/>
    <w:multiLevelType w:val="hybridMultilevel"/>
    <w:tmpl w:val="A0D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D1313"/>
    <w:multiLevelType w:val="hybridMultilevel"/>
    <w:tmpl w:val="1FE26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E131D"/>
    <w:multiLevelType w:val="hybridMultilevel"/>
    <w:tmpl w:val="3D80C23C"/>
    <w:lvl w:ilvl="0" w:tplc="E1B812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D5F1A"/>
    <w:multiLevelType w:val="hybridMultilevel"/>
    <w:tmpl w:val="82B6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31919"/>
    <w:multiLevelType w:val="hybridMultilevel"/>
    <w:tmpl w:val="3E328776"/>
    <w:lvl w:ilvl="0" w:tplc="90AC9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7CE3"/>
    <w:multiLevelType w:val="hybridMultilevel"/>
    <w:tmpl w:val="FB7428F4"/>
    <w:lvl w:ilvl="0" w:tplc="FB56BFFE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0C71"/>
    <w:multiLevelType w:val="hybridMultilevel"/>
    <w:tmpl w:val="F8126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659D"/>
    <w:multiLevelType w:val="hybridMultilevel"/>
    <w:tmpl w:val="9A121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4889"/>
    <w:multiLevelType w:val="hybridMultilevel"/>
    <w:tmpl w:val="F69E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8"/>
  </w:num>
  <w:num w:numId="5">
    <w:abstractNumId w:val="19"/>
  </w:num>
  <w:num w:numId="6">
    <w:abstractNumId w:val="0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20"/>
  </w:num>
  <w:num w:numId="15">
    <w:abstractNumId w:val="15"/>
  </w:num>
  <w:num w:numId="16">
    <w:abstractNumId w:val="16"/>
  </w:num>
  <w:num w:numId="17">
    <w:abstractNumId w:val="7"/>
  </w:num>
  <w:num w:numId="18">
    <w:abstractNumId w:val="10"/>
  </w:num>
  <w:num w:numId="19">
    <w:abstractNumId w:val="11"/>
  </w:num>
  <w:num w:numId="20">
    <w:abstractNumId w:val="2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E9"/>
    <w:rsid w:val="00015B88"/>
    <w:rsid w:val="00047F62"/>
    <w:rsid w:val="000B4D6B"/>
    <w:rsid w:val="000E66DB"/>
    <w:rsid w:val="001A32A7"/>
    <w:rsid w:val="001C5FFB"/>
    <w:rsid w:val="00217227"/>
    <w:rsid w:val="00241528"/>
    <w:rsid w:val="00242921"/>
    <w:rsid w:val="00311BAB"/>
    <w:rsid w:val="0038546A"/>
    <w:rsid w:val="003F5A66"/>
    <w:rsid w:val="004264F7"/>
    <w:rsid w:val="00432726"/>
    <w:rsid w:val="004E450D"/>
    <w:rsid w:val="00536D33"/>
    <w:rsid w:val="005C1597"/>
    <w:rsid w:val="00650899"/>
    <w:rsid w:val="00697F1D"/>
    <w:rsid w:val="00740D9A"/>
    <w:rsid w:val="00764B4D"/>
    <w:rsid w:val="007714CE"/>
    <w:rsid w:val="00793BCA"/>
    <w:rsid w:val="007A0AFF"/>
    <w:rsid w:val="00842E97"/>
    <w:rsid w:val="008815A7"/>
    <w:rsid w:val="00882C48"/>
    <w:rsid w:val="00887AB4"/>
    <w:rsid w:val="008E58BE"/>
    <w:rsid w:val="008F64EB"/>
    <w:rsid w:val="0090294F"/>
    <w:rsid w:val="009139B7"/>
    <w:rsid w:val="00931AA8"/>
    <w:rsid w:val="0093578D"/>
    <w:rsid w:val="00967332"/>
    <w:rsid w:val="009F4B4F"/>
    <w:rsid w:val="00A0315B"/>
    <w:rsid w:val="00A44639"/>
    <w:rsid w:val="00A61DD1"/>
    <w:rsid w:val="00A9780A"/>
    <w:rsid w:val="00AD313E"/>
    <w:rsid w:val="00B918B6"/>
    <w:rsid w:val="00BB5786"/>
    <w:rsid w:val="00BF0642"/>
    <w:rsid w:val="00C36234"/>
    <w:rsid w:val="00C44D31"/>
    <w:rsid w:val="00C72F40"/>
    <w:rsid w:val="00C76E6B"/>
    <w:rsid w:val="00D17680"/>
    <w:rsid w:val="00DD7775"/>
    <w:rsid w:val="00E67EE9"/>
    <w:rsid w:val="00FE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7E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7E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67EE9"/>
    <w:pPr>
      <w:keepNext/>
      <w:ind w:left="720"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E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67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67EE9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E67EE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E67EE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67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7EE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7EE9"/>
  </w:style>
  <w:style w:type="paragraph" w:styleId="Footer">
    <w:name w:val="footer"/>
    <w:basedOn w:val="Normal"/>
    <w:link w:val="FooterChar"/>
    <w:rsid w:val="00E67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E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7EE9"/>
    <w:pPr>
      <w:ind w:left="144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67EE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E67EE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EE9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E67E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7EE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67E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67EE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67E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7EE9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6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boldcblue">
    <w:name w:val="fbold cblue"/>
    <w:basedOn w:val="DefaultParagraphFont"/>
    <w:rsid w:val="00E67EE9"/>
  </w:style>
  <w:style w:type="paragraph" w:customStyle="1" w:styleId="WW-Padro">
    <w:name w:val="WW-Padrão"/>
    <w:rsid w:val="00E67E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customStyle="1" w:styleId="WW-ContedodaTabela">
    <w:name w:val="WW-Conteúdo da Tabela"/>
    <w:basedOn w:val="BodyText"/>
    <w:rsid w:val="00E67EE9"/>
    <w:pPr>
      <w:widowControl w:val="0"/>
      <w:suppressLineNumbers/>
      <w:suppressAutoHyphens/>
      <w:spacing w:after="0"/>
      <w:jc w:val="both"/>
    </w:pPr>
    <w:rPr>
      <w:rFonts w:ascii="Arial" w:hAnsi="Arial"/>
      <w:sz w:val="24"/>
      <w:lang w:val="pt-BR" w:eastAsia="ar-SA"/>
    </w:rPr>
  </w:style>
  <w:style w:type="paragraph" w:styleId="Subtitle">
    <w:name w:val="Subtitle"/>
    <w:basedOn w:val="Normal"/>
    <w:link w:val="SubtitleChar"/>
    <w:qFormat/>
    <w:rsid w:val="00E67EE9"/>
    <w:pPr>
      <w:jc w:val="center"/>
    </w:pPr>
    <w:rPr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E67EE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Default">
    <w:name w:val="Default"/>
    <w:rsid w:val="00E67EE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67EE9"/>
    <w:rPr>
      <w:color w:val="auto"/>
    </w:rPr>
  </w:style>
  <w:style w:type="paragraph" w:styleId="ListParagraph">
    <w:name w:val="List Paragraph"/>
    <w:basedOn w:val="Normal"/>
    <w:uiPriority w:val="34"/>
    <w:qFormat/>
    <w:rsid w:val="00E67EE9"/>
    <w:pPr>
      <w:ind w:left="720"/>
      <w:contextualSpacing/>
    </w:pPr>
    <w:rPr>
      <w:rFonts w:ascii="Calibri" w:hAnsi="Calibri"/>
      <w:sz w:val="24"/>
      <w:szCs w:val="24"/>
    </w:rPr>
  </w:style>
  <w:style w:type="character" w:styleId="Emphasis">
    <w:name w:val="Emphasis"/>
    <w:uiPriority w:val="20"/>
    <w:qFormat/>
    <w:rsid w:val="00E67EE9"/>
    <w:rPr>
      <w:i/>
      <w:iCs/>
    </w:rPr>
  </w:style>
  <w:style w:type="character" w:customStyle="1" w:styleId="text2">
    <w:name w:val="text2"/>
    <w:basedOn w:val="DefaultParagraphFont"/>
    <w:rsid w:val="00E67EE9"/>
  </w:style>
  <w:style w:type="character" w:customStyle="1" w:styleId="shorttext1">
    <w:name w:val="short_text1"/>
    <w:rsid w:val="00E67EE9"/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E67EE9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ZA"/>
    </w:rPr>
  </w:style>
  <w:style w:type="character" w:styleId="Strong">
    <w:name w:val="Strong"/>
    <w:uiPriority w:val="22"/>
    <w:qFormat/>
    <w:rsid w:val="00E67EE9"/>
    <w:rPr>
      <w:b/>
      <w:bCs/>
    </w:rPr>
  </w:style>
  <w:style w:type="paragraph" w:styleId="NormalWeb">
    <w:name w:val="Normal (Web)"/>
    <w:basedOn w:val="Normal"/>
    <w:uiPriority w:val="99"/>
    <w:unhideWhenUsed/>
    <w:rsid w:val="00E67EE9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character" w:customStyle="1" w:styleId="symbol1">
    <w:name w:val="symbol1"/>
    <w:rsid w:val="00E67EE9"/>
  </w:style>
  <w:style w:type="paragraph" w:customStyle="1" w:styleId="rtecenter">
    <w:name w:val="rtecenter"/>
    <w:basedOn w:val="Normal"/>
    <w:rsid w:val="00E67EE9"/>
    <w:pPr>
      <w:spacing w:before="100" w:beforeAutospacing="1" w:after="100" w:afterAutospacing="1"/>
      <w:jc w:val="center"/>
    </w:pPr>
    <w:rPr>
      <w:sz w:val="24"/>
      <w:szCs w:val="24"/>
      <w:lang w:val="en-ZA" w:eastAsia="en-ZA"/>
    </w:rPr>
  </w:style>
  <w:style w:type="character" w:styleId="Hyperlink">
    <w:name w:val="Hyperlink"/>
    <w:uiPriority w:val="99"/>
    <w:unhideWhenUsed/>
    <w:rsid w:val="00E67EE9"/>
    <w:rPr>
      <w:color w:val="0000FF"/>
      <w:u w:val="single"/>
    </w:rPr>
  </w:style>
  <w:style w:type="character" w:customStyle="1" w:styleId="produkttyp1">
    <w:name w:val="produkt_typ1"/>
    <w:rsid w:val="00E67EE9"/>
    <w:rPr>
      <w:b/>
      <w:bCs/>
      <w:sz w:val="20"/>
      <w:szCs w:val="20"/>
    </w:rPr>
  </w:style>
  <w:style w:type="character" w:customStyle="1" w:styleId="blacktext1">
    <w:name w:val="blacktext1"/>
    <w:rsid w:val="00E67EE9"/>
    <w:rPr>
      <w:color w:val="000000"/>
    </w:rPr>
  </w:style>
  <w:style w:type="character" w:customStyle="1" w:styleId="hps">
    <w:name w:val="hps"/>
    <w:uiPriority w:val="99"/>
    <w:rsid w:val="00E67EE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7E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7E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67EE9"/>
    <w:pPr>
      <w:keepNext/>
      <w:ind w:left="720"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E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67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67EE9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E67EE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E67EE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67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7EE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7EE9"/>
  </w:style>
  <w:style w:type="paragraph" w:styleId="Footer">
    <w:name w:val="footer"/>
    <w:basedOn w:val="Normal"/>
    <w:link w:val="FooterChar"/>
    <w:rsid w:val="00E67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E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7EE9"/>
    <w:pPr>
      <w:ind w:left="144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67EE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E67EE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EE9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E67E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7EE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67E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67EE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67E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7EE9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6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boldcblue">
    <w:name w:val="fbold cblue"/>
    <w:basedOn w:val="DefaultParagraphFont"/>
    <w:rsid w:val="00E67EE9"/>
  </w:style>
  <w:style w:type="paragraph" w:customStyle="1" w:styleId="WW-Padro">
    <w:name w:val="WW-Padrão"/>
    <w:rsid w:val="00E67E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customStyle="1" w:styleId="WW-ContedodaTabela">
    <w:name w:val="WW-Conteúdo da Tabela"/>
    <w:basedOn w:val="BodyText"/>
    <w:rsid w:val="00E67EE9"/>
    <w:pPr>
      <w:widowControl w:val="0"/>
      <w:suppressLineNumbers/>
      <w:suppressAutoHyphens/>
      <w:spacing w:after="0"/>
      <w:jc w:val="both"/>
    </w:pPr>
    <w:rPr>
      <w:rFonts w:ascii="Arial" w:hAnsi="Arial"/>
      <w:sz w:val="24"/>
      <w:lang w:val="pt-BR" w:eastAsia="ar-SA"/>
    </w:rPr>
  </w:style>
  <w:style w:type="paragraph" w:styleId="Subtitle">
    <w:name w:val="Subtitle"/>
    <w:basedOn w:val="Normal"/>
    <w:link w:val="SubtitleChar"/>
    <w:qFormat/>
    <w:rsid w:val="00E67EE9"/>
    <w:pPr>
      <w:jc w:val="center"/>
    </w:pPr>
    <w:rPr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E67EE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Default">
    <w:name w:val="Default"/>
    <w:rsid w:val="00E67EE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67EE9"/>
    <w:rPr>
      <w:color w:val="auto"/>
    </w:rPr>
  </w:style>
  <w:style w:type="paragraph" w:styleId="ListParagraph">
    <w:name w:val="List Paragraph"/>
    <w:basedOn w:val="Normal"/>
    <w:uiPriority w:val="34"/>
    <w:qFormat/>
    <w:rsid w:val="00E67EE9"/>
    <w:pPr>
      <w:ind w:left="720"/>
      <w:contextualSpacing/>
    </w:pPr>
    <w:rPr>
      <w:rFonts w:ascii="Calibri" w:hAnsi="Calibri"/>
      <w:sz w:val="24"/>
      <w:szCs w:val="24"/>
    </w:rPr>
  </w:style>
  <w:style w:type="character" w:styleId="Emphasis">
    <w:name w:val="Emphasis"/>
    <w:uiPriority w:val="20"/>
    <w:qFormat/>
    <w:rsid w:val="00E67EE9"/>
    <w:rPr>
      <w:i/>
      <w:iCs/>
    </w:rPr>
  </w:style>
  <w:style w:type="character" w:customStyle="1" w:styleId="text2">
    <w:name w:val="text2"/>
    <w:basedOn w:val="DefaultParagraphFont"/>
    <w:rsid w:val="00E67EE9"/>
  </w:style>
  <w:style w:type="character" w:customStyle="1" w:styleId="shorttext1">
    <w:name w:val="short_text1"/>
    <w:rsid w:val="00E67EE9"/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E67EE9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ZA"/>
    </w:rPr>
  </w:style>
  <w:style w:type="character" w:styleId="Strong">
    <w:name w:val="Strong"/>
    <w:uiPriority w:val="22"/>
    <w:qFormat/>
    <w:rsid w:val="00E67EE9"/>
    <w:rPr>
      <w:b/>
      <w:bCs/>
    </w:rPr>
  </w:style>
  <w:style w:type="paragraph" w:styleId="NormalWeb">
    <w:name w:val="Normal (Web)"/>
    <w:basedOn w:val="Normal"/>
    <w:uiPriority w:val="99"/>
    <w:unhideWhenUsed/>
    <w:rsid w:val="00E67EE9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character" w:customStyle="1" w:styleId="symbol1">
    <w:name w:val="symbol1"/>
    <w:rsid w:val="00E67EE9"/>
  </w:style>
  <w:style w:type="paragraph" w:customStyle="1" w:styleId="rtecenter">
    <w:name w:val="rtecenter"/>
    <w:basedOn w:val="Normal"/>
    <w:rsid w:val="00E67EE9"/>
    <w:pPr>
      <w:spacing w:before="100" w:beforeAutospacing="1" w:after="100" w:afterAutospacing="1"/>
      <w:jc w:val="center"/>
    </w:pPr>
    <w:rPr>
      <w:sz w:val="24"/>
      <w:szCs w:val="24"/>
      <w:lang w:val="en-ZA" w:eastAsia="en-ZA"/>
    </w:rPr>
  </w:style>
  <w:style w:type="character" w:styleId="Hyperlink">
    <w:name w:val="Hyperlink"/>
    <w:uiPriority w:val="99"/>
    <w:unhideWhenUsed/>
    <w:rsid w:val="00E67EE9"/>
    <w:rPr>
      <w:color w:val="0000FF"/>
      <w:u w:val="single"/>
    </w:rPr>
  </w:style>
  <w:style w:type="character" w:customStyle="1" w:styleId="produkttyp1">
    <w:name w:val="produkt_typ1"/>
    <w:rsid w:val="00E67EE9"/>
    <w:rPr>
      <w:b/>
      <w:bCs/>
      <w:sz w:val="20"/>
      <w:szCs w:val="20"/>
    </w:rPr>
  </w:style>
  <w:style w:type="character" w:customStyle="1" w:styleId="blacktext1">
    <w:name w:val="blacktext1"/>
    <w:rsid w:val="00E67EE9"/>
    <w:rPr>
      <w:color w:val="000000"/>
    </w:rPr>
  </w:style>
  <w:style w:type="character" w:customStyle="1" w:styleId="hps">
    <w:name w:val="hps"/>
    <w:uiPriority w:val="99"/>
    <w:rsid w:val="00E67EE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UNIDO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FABRA CADENAS, Leopoldo</dc:creator>
  <cp:lastModifiedBy>SIMBARE, Francine</cp:lastModifiedBy>
  <cp:revision>2</cp:revision>
  <cp:lastPrinted>2018-03-19T11:39:00Z</cp:lastPrinted>
  <dcterms:created xsi:type="dcterms:W3CDTF">2018-03-19T15:13:00Z</dcterms:created>
  <dcterms:modified xsi:type="dcterms:W3CDTF">2018-03-19T15:13:00Z</dcterms:modified>
</cp:coreProperties>
</file>