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6F15" w14:textId="52A6B9F2" w:rsidR="00F661FC" w:rsidRPr="00BF0298" w:rsidRDefault="00E47EB7" w:rsidP="00F661FC">
      <w:pPr>
        <w:pStyle w:val="Heading1"/>
        <w:numPr>
          <w:ilvl w:val="0"/>
          <w:numId w:val="0"/>
        </w:numPr>
        <w:rPr>
          <w:caps/>
          <w:szCs w:val="28"/>
          <w:lang w:val="en-GB"/>
        </w:rPr>
      </w:pPr>
      <w:bookmarkStart w:id="0" w:name="_Toc6472635"/>
      <w:bookmarkStart w:id="1" w:name="_Toc7251367"/>
      <w:bookmarkStart w:id="2" w:name="_Toc13054464"/>
      <w:bookmarkStart w:id="3" w:name="_GoBack"/>
      <w:bookmarkEnd w:id="3"/>
      <w:r>
        <w:rPr>
          <w:caps/>
          <w:szCs w:val="28"/>
          <w:lang w:val="en-GB"/>
        </w:rPr>
        <w:t>Appendix 3</w:t>
      </w:r>
      <w:r>
        <w:rPr>
          <w:szCs w:val="28"/>
          <w:lang w:val="en-GB"/>
        </w:rPr>
        <w:t>.b</w:t>
      </w:r>
      <w:r w:rsidR="007B4DFF" w:rsidRPr="00BF0298">
        <w:rPr>
          <w:caps/>
          <w:szCs w:val="28"/>
          <w:lang w:val="en-GB"/>
        </w:rPr>
        <w:t>: Commercial offer</w:t>
      </w:r>
      <w:bookmarkEnd w:id="0"/>
      <w:bookmarkEnd w:id="1"/>
      <w:bookmarkEnd w:id="2"/>
      <w:r w:rsidR="007B4DFF" w:rsidRPr="00BF0298">
        <w:rPr>
          <w:caps/>
          <w:szCs w:val="28"/>
          <w:lang w:val="en-GB"/>
        </w:rPr>
        <w:t xml:space="preserve"> </w:t>
      </w:r>
      <w:r w:rsidR="00C14096" w:rsidRPr="00BF0298">
        <w:rPr>
          <w:caps/>
          <w:szCs w:val="28"/>
          <w:lang w:val="en-GB"/>
        </w:rPr>
        <w:t>FORM (</w:t>
      </w:r>
      <w:r w:rsidR="00F661FC" w:rsidRPr="00BF0298">
        <w:rPr>
          <w:color w:val="FF0000"/>
          <w:szCs w:val="28"/>
          <w:lang w:val="en-GB"/>
        </w:rPr>
        <w:t>both the hard copy and soft copy to be submitted in a separate sealed envelope</w:t>
      </w:r>
      <w:r w:rsidR="00F661FC" w:rsidRPr="00F661FC">
        <w:rPr>
          <w:szCs w:val="28"/>
          <w:lang w:val="en-GB"/>
        </w:rPr>
        <w:t>)</w:t>
      </w:r>
    </w:p>
    <w:p w14:paraId="29A8702D" w14:textId="4BC713E5" w:rsidR="007B4DFF" w:rsidRPr="007203A5" w:rsidRDefault="007B4DFF" w:rsidP="007B4DFF">
      <w:pPr>
        <w:jc w:val="both"/>
        <w:rPr>
          <w:lang w:val="en-GB"/>
        </w:rPr>
      </w:pPr>
      <w:r w:rsidRPr="000532D0">
        <w:rPr>
          <w:b/>
          <w:lang w:val="en-GB"/>
        </w:rPr>
        <w:t xml:space="preserve">The Bidder shall provide a detailed costs breakdown </w:t>
      </w:r>
      <w:r w:rsidR="00A70DA0" w:rsidRPr="000532D0">
        <w:rPr>
          <w:b/>
          <w:lang w:val="en-GB"/>
        </w:rPr>
        <w:t xml:space="preserve">for Lot 1 </w:t>
      </w:r>
      <w:r w:rsidRPr="000532D0">
        <w:rPr>
          <w:b/>
          <w:lang w:val="en-GB"/>
        </w:rPr>
        <w:t xml:space="preserve">as per </w:t>
      </w:r>
      <w:r w:rsidR="00057751" w:rsidRPr="000532D0">
        <w:rPr>
          <w:b/>
          <w:lang w:val="en-GB"/>
        </w:rPr>
        <w:fldChar w:fldCharType="begin"/>
      </w:r>
      <w:r w:rsidR="0061066C" w:rsidRPr="000532D0">
        <w:rPr>
          <w:b/>
          <w:lang w:val="en-GB"/>
        </w:rPr>
        <w:instrText xml:space="preserve"> REF _Ref17706080 \h </w:instrText>
      </w:r>
      <w:r w:rsidR="00A70DA0">
        <w:rPr>
          <w:b/>
          <w:lang w:val="en-GB"/>
        </w:rPr>
        <w:instrText xml:space="preserve"> \* MERGEFORMAT </w:instrText>
      </w:r>
      <w:r w:rsidR="00057751" w:rsidRPr="000532D0">
        <w:rPr>
          <w:b/>
          <w:lang w:val="en-GB"/>
        </w:rPr>
      </w:r>
      <w:r w:rsidR="00057751" w:rsidRPr="000532D0">
        <w:rPr>
          <w:b/>
          <w:lang w:val="en-GB"/>
        </w:rPr>
        <w:fldChar w:fldCharType="separate"/>
      </w:r>
      <w:r w:rsidR="0061066C" w:rsidRPr="000532D0">
        <w:rPr>
          <w:b/>
        </w:rPr>
        <w:t xml:space="preserve">Table </w:t>
      </w:r>
      <w:r w:rsidR="0061066C" w:rsidRPr="000532D0">
        <w:rPr>
          <w:b/>
          <w:noProof/>
        </w:rPr>
        <w:t>1</w:t>
      </w:r>
      <w:r w:rsidR="00057751" w:rsidRPr="000532D0">
        <w:rPr>
          <w:b/>
          <w:lang w:val="en-GB"/>
        </w:rPr>
        <w:fldChar w:fldCharType="end"/>
      </w:r>
      <w:r w:rsidR="0061066C">
        <w:rPr>
          <w:lang w:val="en-GB"/>
        </w:rPr>
        <w:t xml:space="preserve">, indicating the relevant costs according to the technology or combination of technologies offered. </w:t>
      </w:r>
      <w:r w:rsidRPr="007203A5">
        <w:rPr>
          <w:lang w:val="en-GB"/>
        </w:rPr>
        <w:t xml:space="preserve">In addition to the cost breakdown shown in </w:t>
      </w:r>
      <w:r w:rsidR="00313487">
        <w:rPr>
          <w:lang w:val="en-GB"/>
        </w:rPr>
        <w:t>the T</w:t>
      </w:r>
      <w:r w:rsidR="0061066C">
        <w:rPr>
          <w:lang w:val="en-GB"/>
        </w:rPr>
        <w:t>able</w:t>
      </w:r>
      <w:r w:rsidR="00313487">
        <w:rPr>
          <w:lang w:val="en-GB"/>
        </w:rPr>
        <w:t xml:space="preserve"> 1</w:t>
      </w:r>
      <w:r w:rsidR="0061066C">
        <w:rPr>
          <w:lang w:val="en-GB"/>
        </w:rPr>
        <w:t xml:space="preserve">, </w:t>
      </w:r>
      <w:r w:rsidRPr="007203A5">
        <w:rPr>
          <w:lang w:val="en-GB"/>
        </w:rPr>
        <w:t xml:space="preserve">the Bidder should submit with this form any additional data, supporting schedules and </w:t>
      </w:r>
      <w:proofErr w:type="gramStart"/>
      <w:r w:rsidRPr="007203A5">
        <w:rPr>
          <w:lang w:val="en-GB"/>
        </w:rPr>
        <w:t>substantiation which</w:t>
      </w:r>
      <w:proofErr w:type="gramEnd"/>
      <w:r w:rsidRPr="007203A5">
        <w:rPr>
          <w:lang w:val="en-GB"/>
        </w:rPr>
        <w:t xml:space="preserve"> are reasonably necessary for the conduct of any appropriate evaluation of the proposed contract costs. If a cost is included in an item, do not duplicate the cost or any portion thereof in another item on the form.</w:t>
      </w:r>
    </w:p>
    <w:p w14:paraId="519B46AC" w14:textId="7C4E783F" w:rsidR="001C1B93" w:rsidRDefault="001C1B93" w:rsidP="001C1B93">
      <w:pPr>
        <w:overflowPunct w:val="0"/>
        <w:adjustRightInd w:val="0"/>
        <w:spacing w:before="120"/>
        <w:contextualSpacing/>
        <w:jc w:val="both"/>
        <w:rPr>
          <w:b/>
          <w:snapToGrid w:val="0"/>
          <w:szCs w:val="22"/>
          <w:lang w:val="en-GB"/>
        </w:rPr>
      </w:pPr>
      <w:r>
        <w:rPr>
          <w:b/>
          <w:snapToGrid w:val="0"/>
          <w:szCs w:val="22"/>
          <w:lang w:val="en-GB"/>
        </w:rPr>
        <w:t xml:space="preserve">Moreover, the Bidder shall </w:t>
      </w:r>
      <w:r w:rsidR="00F178A7">
        <w:rPr>
          <w:b/>
          <w:snapToGrid w:val="0"/>
          <w:szCs w:val="22"/>
          <w:lang w:val="en-GB"/>
        </w:rPr>
        <w:t xml:space="preserve">indicate </w:t>
      </w:r>
      <w:r w:rsidR="0048197E">
        <w:rPr>
          <w:b/>
          <w:snapToGrid w:val="0"/>
          <w:szCs w:val="22"/>
          <w:lang w:val="en-GB"/>
        </w:rPr>
        <w:t>the price per ton</w:t>
      </w:r>
      <w:r>
        <w:rPr>
          <w:b/>
          <w:snapToGrid w:val="0"/>
          <w:szCs w:val="22"/>
          <w:lang w:val="en-GB"/>
        </w:rPr>
        <w:t xml:space="preserve"> related to the HCH contaminated concrete as per Table 2, </w:t>
      </w:r>
      <w:r>
        <w:rPr>
          <w:snapToGrid w:val="0"/>
          <w:szCs w:val="22"/>
          <w:lang w:val="en-GB"/>
        </w:rPr>
        <w:t xml:space="preserve">indicating the relevant costs per </w:t>
      </w:r>
      <w:r w:rsidR="0048197E">
        <w:rPr>
          <w:snapToGrid w:val="0"/>
          <w:szCs w:val="22"/>
          <w:lang w:val="en-GB"/>
        </w:rPr>
        <w:t xml:space="preserve">ton during </w:t>
      </w:r>
      <w:r>
        <w:rPr>
          <w:snapToGrid w:val="0"/>
          <w:szCs w:val="22"/>
          <w:lang w:val="en-GB"/>
        </w:rPr>
        <w:t xml:space="preserve">different phases of the process for the remediation of the HCH contaminated concrete. </w:t>
      </w:r>
      <w:r w:rsidRPr="00BF0298">
        <w:rPr>
          <w:snapToGrid w:val="0"/>
          <w:szCs w:val="22"/>
          <w:u w:val="single"/>
          <w:lang w:val="en-GB"/>
        </w:rPr>
        <w:t>Note that the remediation of the HCH contaminated concrete is not part of the Lot 1</w:t>
      </w:r>
      <w:r w:rsidR="00F178A7">
        <w:rPr>
          <w:snapToGrid w:val="0"/>
          <w:szCs w:val="22"/>
          <w:u w:val="single"/>
          <w:lang w:val="en-GB"/>
        </w:rPr>
        <w:t>.</w:t>
      </w:r>
      <w:r w:rsidR="00970BC7">
        <w:rPr>
          <w:snapToGrid w:val="0"/>
          <w:szCs w:val="22"/>
          <w:u w:val="single"/>
          <w:lang w:val="en-GB"/>
        </w:rPr>
        <w:t xml:space="preserve"> </w:t>
      </w:r>
      <w:r w:rsidR="00970BC7" w:rsidRPr="005C1E06">
        <w:rPr>
          <w:b/>
          <w:snapToGrid w:val="0"/>
          <w:szCs w:val="22"/>
          <w:u w:val="single"/>
          <w:lang w:val="en-GB"/>
        </w:rPr>
        <w:t xml:space="preserve">In addition, the Bidder shall indicate the price for the </w:t>
      </w:r>
      <w:r w:rsidR="00970BC7" w:rsidRPr="005C1E06">
        <w:rPr>
          <w:b/>
          <w:lang w:val="en-GB"/>
        </w:rPr>
        <w:t>revitalization/restoration of the plant site as per Table 2</w:t>
      </w:r>
      <w:r w:rsidR="00970BC7">
        <w:rPr>
          <w:lang w:val="en-GB"/>
        </w:rPr>
        <w:t xml:space="preserve">, indicating the cost for the backfilling of the pit with the treated soil or with the clean one. </w:t>
      </w:r>
      <w:r w:rsidR="00970BC7">
        <w:rPr>
          <w:snapToGrid w:val="0"/>
          <w:szCs w:val="22"/>
          <w:u w:val="single"/>
          <w:lang w:val="en-GB"/>
        </w:rPr>
        <w:t xml:space="preserve"> Note that the revitalization/restoration of the plant site is not part of the Lot 1.</w:t>
      </w:r>
    </w:p>
    <w:p w14:paraId="4CF32314" w14:textId="77777777" w:rsidR="001C1B93" w:rsidRPr="000532D0" w:rsidRDefault="001C1B93" w:rsidP="001C1B93">
      <w:pPr>
        <w:overflowPunct w:val="0"/>
        <w:adjustRightInd w:val="0"/>
        <w:spacing w:before="120"/>
        <w:contextualSpacing/>
        <w:jc w:val="both"/>
        <w:rPr>
          <w:b/>
          <w:snapToGrid w:val="0"/>
          <w:szCs w:val="22"/>
          <w:lang w:val="en-GB"/>
        </w:rPr>
      </w:pPr>
    </w:p>
    <w:p w14:paraId="78565AC1" w14:textId="23DEB288" w:rsidR="007B4DFF" w:rsidRDefault="007B4DFF" w:rsidP="007B4DFF">
      <w:pPr>
        <w:jc w:val="both"/>
        <w:rPr>
          <w:u w:val="single"/>
          <w:lang w:val="en-GB"/>
        </w:rPr>
      </w:pPr>
      <w:r w:rsidRPr="007203A5">
        <w:rPr>
          <w:lang w:val="en-GB"/>
        </w:rPr>
        <w:t>Where a cost element is not appropriate for the proposed contract, please indicate “Not applicable” or “NA” on the form.</w:t>
      </w:r>
      <w:r w:rsidR="004C1B83">
        <w:rPr>
          <w:lang w:val="en-GB"/>
        </w:rPr>
        <w:t xml:space="preserve"> </w:t>
      </w:r>
      <w:r w:rsidRPr="007203A5">
        <w:rPr>
          <w:lang w:val="en-GB"/>
        </w:rPr>
        <w:t xml:space="preserve">All costs on the form </w:t>
      </w:r>
      <w:proofErr w:type="gramStart"/>
      <w:r w:rsidRPr="007203A5">
        <w:rPr>
          <w:lang w:val="en-GB"/>
        </w:rPr>
        <w:t>should be stated</w:t>
      </w:r>
      <w:proofErr w:type="gramEnd"/>
      <w:r w:rsidRPr="007203A5">
        <w:rPr>
          <w:lang w:val="en-GB"/>
        </w:rPr>
        <w:t xml:space="preserve"> in </w:t>
      </w:r>
      <w:r w:rsidRPr="007203A5">
        <w:rPr>
          <w:u w:val="single"/>
          <w:lang w:val="en-GB"/>
        </w:rPr>
        <w:t>United States dollars.</w:t>
      </w:r>
    </w:p>
    <w:p w14:paraId="5070C943" w14:textId="2E37F3B7" w:rsidR="00A70DA0" w:rsidRPr="000532D0" w:rsidRDefault="00A70DA0" w:rsidP="00A70DA0">
      <w:pPr>
        <w:jc w:val="both"/>
        <w:rPr>
          <w:b/>
          <w:snapToGrid w:val="0"/>
          <w:szCs w:val="22"/>
          <w:lang w:val="en-GB"/>
        </w:rPr>
      </w:pPr>
      <w:proofErr w:type="gramStart"/>
      <w:r w:rsidRPr="000532D0">
        <w:rPr>
          <w:b/>
          <w:snapToGrid w:val="0"/>
          <w:szCs w:val="22"/>
          <w:lang w:val="en-GB"/>
        </w:rPr>
        <w:t>The Contractor is requested to guarantee the same or similar conditions</w:t>
      </w:r>
      <w:r w:rsidR="00B01BFC">
        <w:rPr>
          <w:b/>
          <w:snapToGrid w:val="0"/>
          <w:szCs w:val="22"/>
          <w:lang w:val="en-GB"/>
        </w:rPr>
        <w:t>, including price per ton,</w:t>
      </w:r>
      <w:r w:rsidRPr="000532D0">
        <w:rPr>
          <w:b/>
          <w:snapToGrid w:val="0"/>
          <w:szCs w:val="22"/>
          <w:lang w:val="en-GB"/>
        </w:rPr>
        <w:t xml:space="preserve"> as for the contract signed with UNIDO (Lot 1), for the work which might be contracted by UNOPS (Lot 2 and Lot 3) related to the finalization of the clean-up of the delta dump, subject to satisfactory performance and positive evaluation as well as other considerations by UNOPS.</w:t>
      </w:r>
      <w:proofErr w:type="gramEnd"/>
      <w:r w:rsidRPr="000532D0">
        <w:rPr>
          <w:b/>
          <w:snapToGrid w:val="0"/>
          <w:szCs w:val="22"/>
          <w:lang w:val="en-GB"/>
        </w:rPr>
        <w:t xml:space="preserve"> </w:t>
      </w:r>
    </w:p>
    <w:p w14:paraId="62EC0F28" w14:textId="718597AD" w:rsidR="00A70DA0" w:rsidRDefault="00A70DA0" w:rsidP="00E67E6D">
      <w:pPr>
        <w:overflowPunct w:val="0"/>
        <w:adjustRightInd w:val="0"/>
        <w:spacing w:before="120"/>
        <w:contextualSpacing/>
        <w:jc w:val="both"/>
        <w:rPr>
          <w:snapToGrid w:val="0"/>
          <w:szCs w:val="22"/>
          <w:lang w:val="en-GB"/>
        </w:rPr>
      </w:pPr>
      <w:r w:rsidRPr="000532D0">
        <w:rPr>
          <w:b/>
          <w:snapToGrid w:val="0"/>
          <w:szCs w:val="22"/>
          <w:lang w:val="en-GB"/>
        </w:rPr>
        <w:t xml:space="preserve">The bidder’s offer shall include a clear statement regarding the above. </w:t>
      </w:r>
    </w:p>
    <w:p w14:paraId="570069C3" w14:textId="4138FB46" w:rsidR="007B4DFF" w:rsidRPr="00E67E6D" w:rsidRDefault="00E16E20" w:rsidP="00B33561">
      <w:pPr>
        <w:pStyle w:val="Heading1"/>
        <w:numPr>
          <w:ilvl w:val="0"/>
          <w:numId w:val="6"/>
        </w:numPr>
        <w:ind w:left="450" w:hanging="450"/>
        <w:rPr>
          <w:sz w:val="26"/>
          <w:szCs w:val="26"/>
          <w:u w:val="single"/>
          <w:lang w:val="en-GB"/>
        </w:rPr>
      </w:pPr>
      <w:r w:rsidRPr="00E67E6D">
        <w:rPr>
          <w:sz w:val="26"/>
          <w:szCs w:val="26"/>
          <w:u w:val="single"/>
          <w:lang w:val="en-GB"/>
        </w:rPr>
        <w:t xml:space="preserve">Preparatory phase </w:t>
      </w:r>
    </w:p>
    <w:p w14:paraId="45E64252" w14:textId="77777777" w:rsidR="008B36C9" w:rsidRPr="00B33561" w:rsidRDefault="008B36C9" w:rsidP="000532D0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r w:rsidRPr="000532D0">
        <w:rPr>
          <w:lang w:val="en-GB"/>
        </w:rPr>
        <w:t>Preparation of the site remediation plan</w:t>
      </w:r>
    </w:p>
    <w:p w14:paraId="2D8B0D85" w14:textId="77777777" w:rsidR="008B36C9" w:rsidRDefault="005256F4" w:rsidP="00E67E6D">
      <w:pPr>
        <w:pStyle w:val="ListParagraph"/>
        <w:ind w:left="0"/>
        <w:rPr>
          <w:sz w:val="24"/>
          <w:lang w:val="en-US" w:eastAsia="en-US"/>
        </w:rPr>
      </w:pPr>
      <w:r>
        <w:rPr>
          <w:sz w:val="24"/>
          <w:lang w:val="en-US" w:eastAsia="en-US"/>
        </w:rPr>
        <w:t>The Bidder shall provide the costs for the preparation of the site remediation plan</w:t>
      </w:r>
    </w:p>
    <w:p w14:paraId="4A9276F7" w14:textId="77777777" w:rsidR="007B4DFF" w:rsidRDefault="007B4DFF" w:rsidP="007B4DFF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bookmarkStart w:id="4" w:name="_Toc6472639"/>
      <w:bookmarkStart w:id="5" w:name="_Toc7251371"/>
      <w:bookmarkStart w:id="6" w:name="_Toc13054466"/>
      <w:r>
        <w:rPr>
          <w:lang w:val="en-GB"/>
        </w:rPr>
        <w:t>Logistics and infrastructural costs</w:t>
      </w:r>
      <w:bookmarkEnd w:id="4"/>
      <w:bookmarkEnd w:id="5"/>
      <w:bookmarkEnd w:id="6"/>
    </w:p>
    <w:p w14:paraId="535E65E1" w14:textId="69F53DAF" w:rsidR="007B4DFF" w:rsidRPr="00784C09" w:rsidRDefault="007B4DFF" w:rsidP="007B4DFF">
      <w:pPr>
        <w:jc w:val="both"/>
        <w:rPr>
          <w:lang w:val="en-GB"/>
        </w:rPr>
      </w:pPr>
      <w:r w:rsidRPr="00511642">
        <w:rPr>
          <w:bCs/>
          <w:szCs w:val="28"/>
          <w:lang w:val="en-GB"/>
        </w:rPr>
        <w:t>The Bidder shall provide the costs for setting-up of the needed infrastructure (e.g. building, environmental enclosures, monitoring equipment, air treatment systems, water treatment system, settling water tank/basin, supply lines, mechanization, etc.) The bid</w:t>
      </w:r>
      <w:r>
        <w:rPr>
          <w:bCs/>
          <w:szCs w:val="28"/>
          <w:lang w:val="en-GB"/>
        </w:rPr>
        <w:t>der shall also provide the corresponding costs.</w:t>
      </w:r>
      <w:r w:rsidR="00B20697">
        <w:rPr>
          <w:bCs/>
          <w:szCs w:val="28"/>
          <w:lang w:val="en-GB"/>
        </w:rPr>
        <w:t xml:space="preserve"> </w:t>
      </w:r>
      <w:r w:rsidRPr="00784C09">
        <w:rPr>
          <w:lang w:val="en-GB"/>
        </w:rPr>
        <w:t xml:space="preserve">The Bidder shall </w:t>
      </w:r>
      <w:r w:rsidR="00B20697">
        <w:rPr>
          <w:lang w:val="en-GB"/>
        </w:rPr>
        <w:t xml:space="preserve">also </w:t>
      </w:r>
      <w:r w:rsidRPr="00784C09">
        <w:rPr>
          <w:lang w:val="en-GB"/>
        </w:rPr>
        <w:t xml:space="preserve">provide the transportation and installation costs of the </w:t>
      </w:r>
      <w:r w:rsidRPr="00784C09">
        <w:rPr>
          <w:bCs/>
          <w:szCs w:val="28"/>
          <w:lang w:val="en-GB"/>
        </w:rPr>
        <w:t>treatment technology plant</w:t>
      </w:r>
      <w:r w:rsidR="004A2C66">
        <w:rPr>
          <w:bCs/>
          <w:szCs w:val="28"/>
          <w:lang w:val="en-GB"/>
        </w:rPr>
        <w:t xml:space="preserve">, then </w:t>
      </w:r>
      <w:r w:rsidR="004A2C66" w:rsidRPr="00784C09">
        <w:rPr>
          <w:lang w:val="en-GB"/>
        </w:rPr>
        <w:t xml:space="preserve">of the </w:t>
      </w:r>
      <w:r w:rsidR="004A2C66">
        <w:rPr>
          <w:bCs/>
          <w:szCs w:val="28"/>
          <w:lang w:val="en-GB"/>
        </w:rPr>
        <w:t>equipment, machinery, materials and staff</w:t>
      </w:r>
      <w:r>
        <w:rPr>
          <w:lang w:val="en-GB"/>
        </w:rPr>
        <w:t xml:space="preserve"> and </w:t>
      </w:r>
      <w:r w:rsidRPr="00784C09">
        <w:rPr>
          <w:lang w:val="en-GB"/>
        </w:rPr>
        <w:t>the demobilization costs</w:t>
      </w:r>
      <w:r>
        <w:rPr>
          <w:lang w:val="en-GB"/>
        </w:rPr>
        <w:t xml:space="preserve"> as well.</w:t>
      </w:r>
    </w:p>
    <w:p w14:paraId="67774E0A" w14:textId="77777777" w:rsidR="00344571" w:rsidRPr="004F17D3" w:rsidRDefault="001D7672" w:rsidP="004F17D3">
      <w:pPr>
        <w:pStyle w:val="Heading1"/>
        <w:numPr>
          <w:ilvl w:val="0"/>
          <w:numId w:val="6"/>
        </w:numPr>
        <w:ind w:left="450" w:hanging="450"/>
        <w:rPr>
          <w:sz w:val="26"/>
          <w:szCs w:val="26"/>
          <w:u w:val="single"/>
          <w:lang w:val="en-GB"/>
        </w:rPr>
      </w:pPr>
      <w:bookmarkStart w:id="7" w:name="_Toc12363049"/>
      <w:bookmarkStart w:id="8" w:name="_Toc12434596"/>
      <w:bookmarkStart w:id="9" w:name="_Toc12363050"/>
      <w:bookmarkStart w:id="10" w:name="_Toc12434597"/>
      <w:bookmarkStart w:id="11" w:name="_Toc12363051"/>
      <w:bookmarkStart w:id="12" w:name="_Toc12434598"/>
      <w:bookmarkStart w:id="13" w:name="_Toc12363052"/>
      <w:bookmarkStart w:id="14" w:name="_Toc12434599"/>
      <w:bookmarkStart w:id="15" w:name="_Toc6472643"/>
      <w:bookmarkStart w:id="16" w:name="_Toc7251375"/>
      <w:bookmarkStart w:id="17" w:name="_Toc13054468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F17D3">
        <w:rPr>
          <w:sz w:val="26"/>
          <w:szCs w:val="26"/>
          <w:u w:val="single"/>
          <w:lang w:val="en-GB"/>
        </w:rPr>
        <w:t>Excavation, packing and transportation of the HCH waste and contaminated soil from the delta dump</w:t>
      </w:r>
    </w:p>
    <w:p w14:paraId="66F9C5A6" w14:textId="77777777" w:rsidR="008D1F28" w:rsidRDefault="008D1F28" w:rsidP="008D1F28">
      <w:pPr>
        <w:pStyle w:val="Heading3"/>
        <w:numPr>
          <w:ilvl w:val="2"/>
          <w:numId w:val="4"/>
        </w:numPr>
        <w:ind w:left="567" w:hanging="283"/>
        <w:rPr>
          <w:lang w:val="en-GB"/>
        </w:rPr>
      </w:pPr>
      <w:r>
        <w:rPr>
          <w:lang w:val="en-GB"/>
        </w:rPr>
        <w:t>Excavation costs</w:t>
      </w:r>
    </w:p>
    <w:p w14:paraId="1720605A" w14:textId="77777777" w:rsidR="008D1F28" w:rsidRPr="008D1F28" w:rsidRDefault="008D1F28" w:rsidP="00922728">
      <w:pPr>
        <w:jc w:val="both"/>
        <w:rPr>
          <w:lang w:val="en-GB"/>
        </w:rPr>
      </w:pPr>
      <w:r w:rsidRPr="008D1F28">
        <w:rPr>
          <w:lang w:val="en-GB"/>
        </w:rPr>
        <w:t xml:space="preserve">The Bidder shall specify the costs for the </w:t>
      </w:r>
      <w:r>
        <w:rPr>
          <w:lang w:val="en-GB"/>
        </w:rPr>
        <w:t xml:space="preserve">excavation and separation of the </w:t>
      </w:r>
      <w:r w:rsidRPr="008D1F28">
        <w:rPr>
          <w:lang w:val="en-GB"/>
        </w:rPr>
        <w:t xml:space="preserve">HCH waste </w:t>
      </w:r>
      <w:r>
        <w:rPr>
          <w:lang w:val="en-GB"/>
        </w:rPr>
        <w:t>and the contaminated soil</w:t>
      </w:r>
      <w:r w:rsidRPr="008D1F28">
        <w:rPr>
          <w:lang w:val="en-GB"/>
        </w:rPr>
        <w:t xml:space="preserve">. </w:t>
      </w:r>
    </w:p>
    <w:p w14:paraId="501D1783" w14:textId="77777777" w:rsidR="008D1F28" w:rsidRDefault="008D1F28" w:rsidP="008D1F28">
      <w:pPr>
        <w:pStyle w:val="Heading3"/>
        <w:numPr>
          <w:ilvl w:val="2"/>
          <w:numId w:val="4"/>
        </w:numPr>
        <w:ind w:left="567" w:hanging="283"/>
        <w:rPr>
          <w:lang w:val="en-GB"/>
        </w:rPr>
      </w:pPr>
      <w:r>
        <w:rPr>
          <w:lang w:val="en-GB"/>
        </w:rPr>
        <w:t>Packing costs</w:t>
      </w:r>
    </w:p>
    <w:p w14:paraId="071BECFC" w14:textId="77777777" w:rsidR="008D1F28" w:rsidRDefault="008D1F28" w:rsidP="00E03837">
      <w:pPr>
        <w:jc w:val="both"/>
        <w:rPr>
          <w:lang w:val="en-GB"/>
        </w:rPr>
      </w:pPr>
      <w:r w:rsidRPr="007203A5">
        <w:rPr>
          <w:lang w:val="en-GB"/>
        </w:rPr>
        <w:t xml:space="preserve">The </w:t>
      </w:r>
      <w:r>
        <w:rPr>
          <w:lang w:val="en-GB"/>
        </w:rPr>
        <w:t>B</w:t>
      </w:r>
      <w:r w:rsidRPr="007203A5">
        <w:rPr>
          <w:lang w:val="en-GB"/>
        </w:rPr>
        <w:t xml:space="preserve">idder shall </w:t>
      </w:r>
      <w:r>
        <w:rPr>
          <w:lang w:val="en-GB"/>
        </w:rPr>
        <w:t>specify</w:t>
      </w:r>
      <w:r w:rsidRPr="007203A5">
        <w:rPr>
          <w:lang w:val="en-GB"/>
        </w:rPr>
        <w:t xml:space="preserve"> the cost</w:t>
      </w:r>
      <w:r>
        <w:rPr>
          <w:lang w:val="en-GB"/>
        </w:rPr>
        <w:t>s</w:t>
      </w:r>
      <w:r w:rsidRPr="007203A5">
        <w:rPr>
          <w:lang w:val="en-GB"/>
        </w:rPr>
        <w:t xml:space="preserve"> for </w:t>
      </w:r>
      <w:r>
        <w:rPr>
          <w:lang w:val="en-GB"/>
        </w:rPr>
        <w:t>t</w:t>
      </w:r>
      <w:r w:rsidR="00922728">
        <w:rPr>
          <w:lang w:val="en-GB"/>
        </w:rPr>
        <w:t>he</w:t>
      </w:r>
      <w:r w:rsidR="00E03837">
        <w:rPr>
          <w:lang w:val="en-GB"/>
        </w:rPr>
        <w:t xml:space="preserve"> packing of the HCH waste, </w:t>
      </w:r>
      <w:r w:rsidR="00922728">
        <w:rPr>
          <w:lang w:val="en-GB"/>
        </w:rPr>
        <w:t xml:space="preserve">the </w:t>
      </w:r>
      <w:r>
        <w:rPr>
          <w:lang w:val="en-GB"/>
        </w:rPr>
        <w:t xml:space="preserve">other generated waste </w:t>
      </w:r>
      <w:r w:rsidR="00922728">
        <w:rPr>
          <w:lang w:val="en-GB"/>
        </w:rPr>
        <w:t xml:space="preserve">and the contaminated soil </w:t>
      </w:r>
      <w:r>
        <w:rPr>
          <w:lang w:val="en-GB"/>
        </w:rPr>
        <w:t xml:space="preserve">for final disposal. </w:t>
      </w:r>
    </w:p>
    <w:p w14:paraId="555F44B4" w14:textId="77777777" w:rsidR="008D1F28" w:rsidRDefault="008D1F28" w:rsidP="008D1F28">
      <w:pPr>
        <w:pStyle w:val="Heading3"/>
        <w:numPr>
          <w:ilvl w:val="2"/>
          <w:numId w:val="4"/>
        </w:numPr>
        <w:ind w:left="567" w:hanging="283"/>
        <w:rPr>
          <w:lang w:val="en-GB"/>
        </w:rPr>
      </w:pPr>
      <w:r>
        <w:rPr>
          <w:lang w:val="en-GB"/>
        </w:rPr>
        <w:t>Transportation costs</w:t>
      </w:r>
    </w:p>
    <w:p w14:paraId="42DBA055" w14:textId="77777777" w:rsidR="008D1F28" w:rsidRDefault="008D1F28" w:rsidP="008D1F28">
      <w:pPr>
        <w:rPr>
          <w:lang w:val="en-GB"/>
        </w:rPr>
      </w:pPr>
      <w:r w:rsidRPr="007203A5">
        <w:rPr>
          <w:lang w:val="en-GB"/>
        </w:rPr>
        <w:t xml:space="preserve">The </w:t>
      </w:r>
      <w:r>
        <w:rPr>
          <w:lang w:val="en-GB"/>
        </w:rPr>
        <w:t>B</w:t>
      </w:r>
      <w:r w:rsidRPr="007203A5">
        <w:rPr>
          <w:lang w:val="en-GB"/>
        </w:rPr>
        <w:t xml:space="preserve">idder shall </w:t>
      </w:r>
      <w:r>
        <w:rPr>
          <w:lang w:val="en-GB"/>
        </w:rPr>
        <w:t>specify</w:t>
      </w:r>
      <w:r w:rsidRPr="007203A5">
        <w:rPr>
          <w:lang w:val="en-GB"/>
        </w:rPr>
        <w:t xml:space="preserve"> the cost</w:t>
      </w:r>
      <w:r>
        <w:rPr>
          <w:lang w:val="en-GB"/>
        </w:rPr>
        <w:t>s</w:t>
      </w:r>
      <w:r w:rsidRPr="007203A5">
        <w:rPr>
          <w:lang w:val="en-GB"/>
        </w:rPr>
        <w:t xml:space="preserve"> for </w:t>
      </w:r>
      <w:r>
        <w:rPr>
          <w:lang w:val="en-GB"/>
        </w:rPr>
        <w:t xml:space="preserve">the transportation of the packed waste </w:t>
      </w:r>
      <w:r w:rsidR="00E03837">
        <w:rPr>
          <w:lang w:val="en-GB"/>
        </w:rPr>
        <w:t xml:space="preserve">and contaminated soil </w:t>
      </w:r>
      <w:r>
        <w:rPr>
          <w:lang w:val="en-GB"/>
        </w:rPr>
        <w:t>to the final disposal destination.</w:t>
      </w:r>
    </w:p>
    <w:p w14:paraId="309AEBAE" w14:textId="70D595B9" w:rsidR="00A32DD9" w:rsidRPr="004F17D3" w:rsidRDefault="000B2254" w:rsidP="004F17D3">
      <w:pPr>
        <w:pStyle w:val="Heading1"/>
        <w:numPr>
          <w:ilvl w:val="0"/>
          <w:numId w:val="6"/>
        </w:numPr>
        <w:ind w:left="450" w:hanging="450"/>
        <w:rPr>
          <w:sz w:val="26"/>
          <w:szCs w:val="26"/>
          <w:u w:val="single"/>
          <w:lang w:val="en-GB"/>
        </w:rPr>
      </w:pPr>
      <w:r w:rsidRPr="004F17D3">
        <w:rPr>
          <w:sz w:val="26"/>
          <w:szCs w:val="26"/>
          <w:u w:val="single"/>
          <w:lang w:val="en-GB"/>
        </w:rPr>
        <w:lastRenderedPageBreak/>
        <w:t xml:space="preserve">Remediation/disposal of the HCH contaminated soil and </w:t>
      </w:r>
      <w:r w:rsidR="00FA4C92" w:rsidRPr="004F17D3">
        <w:rPr>
          <w:sz w:val="26"/>
          <w:szCs w:val="26"/>
          <w:u w:val="single"/>
          <w:lang w:val="en-GB"/>
        </w:rPr>
        <w:t>t</w:t>
      </w:r>
      <w:r w:rsidRPr="004F17D3">
        <w:rPr>
          <w:sz w:val="26"/>
          <w:szCs w:val="26"/>
          <w:u w:val="single"/>
          <w:lang w:val="en-GB"/>
        </w:rPr>
        <w:t>he HCH waste from the delta dump</w:t>
      </w:r>
    </w:p>
    <w:p w14:paraId="4250477B" w14:textId="77777777" w:rsidR="00A32DD9" w:rsidRPr="000532D0" w:rsidRDefault="00057751" w:rsidP="000532D0">
      <w:pPr>
        <w:rPr>
          <w:sz w:val="24"/>
          <w:lang w:val="en-GB"/>
        </w:rPr>
      </w:pPr>
      <w:r w:rsidRPr="000532D0">
        <w:rPr>
          <w:b/>
          <w:sz w:val="24"/>
          <w:lang w:val="en-GB"/>
        </w:rPr>
        <w:t>3.1 Operating and maintenance costs</w:t>
      </w:r>
      <w:bookmarkEnd w:id="15"/>
      <w:bookmarkEnd w:id="16"/>
      <w:bookmarkEnd w:id="17"/>
    </w:p>
    <w:p w14:paraId="1CD30849" w14:textId="77777777" w:rsidR="007B4DFF" w:rsidRDefault="007B4DFF" w:rsidP="007B4DFF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bookmarkStart w:id="18" w:name="_Toc6472644"/>
      <w:bookmarkStart w:id="19" w:name="_Toc7251376"/>
      <w:bookmarkStart w:id="20" w:name="_Toc13054469"/>
      <w:r>
        <w:rPr>
          <w:lang w:val="en-GB"/>
        </w:rPr>
        <w:t>Pre-treatment costs</w:t>
      </w:r>
      <w:bookmarkEnd w:id="18"/>
      <w:bookmarkEnd w:id="19"/>
      <w:bookmarkEnd w:id="20"/>
    </w:p>
    <w:p w14:paraId="66F1A0C0" w14:textId="77777777" w:rsidR="007B4DFF" w:rsidRPr="00562264" w:rsidRDefault="007B4DFF" w:rsidP="007B4DFF">
      <w:pPr>
        <w:rPr>
          <w:lang w:val="en-GB"/>
        </w:rPr>
      </w:pPr>
      <w:r w:rsidRPr="007203A5">
        <w:rPr>
          <w:lang w:val="en-GB"/>
        </w:rPr>
        <w:t>The Bidder shall specify the costs</w:t>
      </w:r>
      <w:r>
        <w:rPr>
          <w:lang w:val="en-GB"/>
        </w:rPr>
        <w:t xml:space="preserve"> of the pre-treatment activities for the preparation of the soil for the treatment (excavation, screening, i.e.</w:t>
      </w:r>
      <w:r w:rsidRPr="000B465E">
        <w:rPr>
          <w:lang w:val="en-GB"/>
        </w:rPr>
        <w:t xml:space="preserve"> particle size reduction</w:t>
      </w:r>
      <w:r>
        <w:rPr>
          <w:lang w:val="en-GB"/>
        </w:rPr>
        <w:t>, de-watering, etc.)</w:t>
      </w:r>
    </w:p>
    <w:p w14:paraId="5EB0C37C" w14:textId="77777777" w:rsidR="007B4DFF" w:rsidRDefault="007B4DFF" w:rsidP="007B4DFF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bookmarkStart w:id="21" w:name="_Toc6472645"/>
      <w:bookmarkStart w:id="22" w:name="_Toc7251377"/>
      <w:bookmarkStart w:id="23" w:name="_Toc13054470"/>
      <w:r>
        <w:rPr>
          <w:lang w:val="en-GB"/>
        </w:rPr>
        <w:t>Utilities costs</w:t>
      </w:r>
      <w:bookmarkEnd w:id="21"/>
      <w:bookmarkEnd w:id="22"/>
      <w:bookmarkEnd w:id="23"/>
    </w:p>
    <w:p w14:paraId="3E484ECE" w14:textId="77777777" w:rsidR="007B4DFF" w:rsidRPr="00BB6A64" w:rsidRDefault="007B4DFF" w:rsidP="007B4DFF">
      <w:pPr>
        <w:jc w:val="both"/>
        <w:rPr>
          <w:lang w:val="en-GB"/>
        </w:rPr>
      </w:pPr>
      <w:r w:rsidRPr="00BB6A64">
        <w:rPr>
          <w:lang w:val="en-GB"/>
        </w:rPr>
        <w:t xml:space="preserve">The Bidder shall specify the costs of the utility’s consumption (electrical energy consumption (kWh, water consumption, fuel consumption, etc.). See also Appendix </w:t>
      </w:r>
      <w:r>
        <w:rPr>
          <w:lang w:val="en-GB"/>
        </w:rPr>
        <w:t>9</w:t>
      </w:r>
      <w:r w:rsidRPr="00BB6A64">
        <w:rPr>
          <w:lang w:val="en-GB"/>
        </w:rPr>
        <w:t>: Conditions for usage of the available infrastructure at OHIS.</w:t>
      </w:r>
    </w:p>
    <w:p w14:paraId="7703F7BE" w14:textId="77777777" w:rsidR="007B4DFF" w:rsidRPr="007203A5" w:rsidRDefault="007B4DFF" w:rsidP="007B4DFF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bookmarkStart w:id="24" w:name="_Toc6472646"/>
      <w:bookmarkStart w:id="25" w:name="_Toc7251378"/>
      <w:bookmarkStart w:id="26" w:name="_Toc13054471"/>
      <w:r w:rsidRPr="007203A5">
        <w:rPr>
          <w:lang w:val="en-GB"/>
        </w:rPr>
        <w:t>Consumable materials costs</w:t>
      </w:r>
      <w:bookmarkEnd w:id="24"/>
      <w:bookmarkEnd w:id="25"/>
      <w:bookmarkEnd w:id="26"/>
      <w:r w:rsidRPr="007203A5">
        <w:rPr>
          <w:lang w:val="en-GB"/>
        </w:rPr>
        <w:t xml:space="preserve"> </w:t>
      </w:r>
    </w:p>
    <w:p w14:paraId="6E443C17" w14:textId="77777777" w:rsidR="007B4DFF" w:rsidRPr="007203A5" w:rsidRDefault="007B4DFF" w:rsidP="007B4DFF">
      <w:pPr>
        <w:jc w:val="both"/>
        <w:rPr>
          <w:lang w:val="en-GB"/>
        </w:rPr>
      </w:pPr>
      <w:r w:rsidRPr="007203A5">
        <w:rPr>
          <w:lang w:val="en-GB"/>
        </w:rPr>
        <w:t xml:space="preserve">The Bidder shall specify the costs of the consumable materials, e.g. feedstock chemicals, solvents, lubricants, compressed air, </w:t>
      </w:r>
      <w:r>
        <w:rPr>
          <w:lang w:val="en-GB"/>
        </w:rPr>
        <w:t>nitrogen, sodium,</w:t>
      </w:r>
      <w:r w:rsidRPr="007203A5">
        <w:rPr>
          <w:lang w:val="en-GB"/>
        </w:rPr>
        <w:t xml:space="preserve"> etc.</w:t>
      </w:r>
      <w:r>
        <w:rPr>
          <w:lang w:val="en-GB"/>
        </w:rPr>
        <w:t xml:space="preserve"> </w:t>
      </w:r>
      <w:r w:rsidRPr="007203A5">
        <w:rPr>
          <w:lang w:val="en-GB"/>
        </w:rPr>
        <w:t xml:space="preserve"> </w:t>
      </w:r>
    </w:p>
    <w:p w14:paraId="4AC2392A" w14:textId="77777777" w:rsidR="007B4DFF" w:rsidRPr="007203A5" w:rsidRDefault="007B4DFF" w:rsidP="007B4DFF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bookmarkStart w:id="27" w:name="_Toc6472647"/>
      <w:bookmarkStart w:id="28" w:name="_Toc7251379"/>
      <w:bookmarkStart w:id="29" w:name="_Toc13054472"/>
      <w:r>
        <w:rPr>
          <w:lang w:val="en-GB"/>
        </w:rPr>
        <w:t>S</w:t>
      </w:r>
      <w:r w:rsidRPr="007203A5">
        <w:rPr>
          <w:lang w:val="en-GB"/>
        </w:rPr>
        <w:t>pare parts</w:t>
      </w:r>
      <w:r>
        <w:rPr>
          <w:lang w:val="en-GB"/>
        </w:rPr>
        <w:t xml:space="preserve"> costs</w:t>
      </w:r>
      <w:bookmarkEnd w:id="27"/>
      <w:bookmarkEnd w:id="28"/>
      <w:bookmarkEnd w:id="29"/>
    </w:p>
    <w:p w14:paraId="1817CF03" w14:textId="1D0ABB73" w:rsidR="007B4DFF" w:rsidRPr="007203A5" w:rsidRDefault="007B4DFF" w:rsidP="007B4DFF">
      <w:pPr>
        <w:rPr>
          <w:lang w:val="en-GB"/>
        </w:rPr>
      </w:pPr>
      <w:r w:rsidRPr="007203A5">
        <w:rPr>
          <w:lang w:val="en-GB"/>
        </w:rPr>
        <w:t xml:space="preserve">The </w:t>
      </w:r>
      <w:r>
        <w:rPr>
          <w:lang w:val="en-GB"/>
        </w:rPr>
        <w:t>B</w:t>
      </w:r>
      <w:r w:rsidRPr="007203A5">
        <w:rPr>
          <w:lang w:val="en-GB"/>
        </w:rPr>
        <w:t xml:space="preserve">idder shall provide the cost for the spare parts that are going to </w:t>
      </w:r>
      <w:proofErr w:type="gramStart"/>
      <w:r w:rsidRPr="007203A5">
        <w:rPr>
          <w:lang w:val="en-GB"/>
        </w:rPr>
        <w:t>be needed</w:t>
      </w:r>
      <w:proofErr w:type="gramEnd"/>
      <w:r w:rsidRPr="007203A5">
        <w:rPr>
          <w:lang w:val="en-GB"/>
        </w:rPr>
        <w:t xml:space="preserve"> during the duration of the </w:t>
      </w:r>
      <w:r w:rsidR="0084619A">
        <w:rPr>
          <w:lang w:val="en-GB"/>
        </w:rPr>
        <w:t>Contract</w:t>
      </w:r>
      <w:r w:rsidRPr="007203A5">
        <w:rPr>
          <w:lang w:val="en-GB"/>
        </w:rPr>
        <w:t>.</w:t>
      </w:r>
    </w:p>
    <w:p w14:paraId="646D55E4" w14:textId="77777777" w:rsidR="007B4DFF" w:rsidRPr="007203A5" w:rsidRDefault="007B4DFF" w:rsidP="007B4DFF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bookmarkStart w:id="30" w:name="_Toc6472648"/>
      <w:bookmarkStart w:id="31" w:name="_Toc7251380"/>
      <w:bookmarkStart w:id="32" w:name="_Toc13054473"/>
      <w:r w:rsidRPr="007203A5">
        <w:rPr>
          <w:lang w:val="en-GB"/>
        </w:rPr>
        <w:t>Labour Costs</w:t>
      </w:r>
      <w:bookmarkEnd w:id="30"/>
      <w:bookmarkEnd w:id="31"/>
      <w:bookmarkEnd w:id="32"/>
    </w:p>
    <w:p w14:paraId="518507AF" w14:textId="77777777" w:rsidR="007B4DFF" w:rsidRPr="007203A5" w:rsidRDefault="007B4DFF" w:rsidP="007B4DFF">
      <w:pPr>
        <w:rPr>
          <w:lang w:val="en-GB"/>
        </w:rPr>
      </w:pPr>
      <w:r w:rsidRPr="007203A5">
        <w:rPr>
          <w:lang w:val="en-GB"/>
        </w:rPr>
        <w:t xml:space="preserve">The Bidder shall specify the labour costs, with description on the number of persons and working days needed to perform the task. </w:t>
      </w:r>
    </w:p>
    <w:p w14:paraId="7784A813" w14:textId="77777777" w:rsidR="007B4DFF" w:rsidRDefault="007B4DFF" w:rsidP="007B4DFF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bookmarkStart w:id="33" w:name="_Toc6472649"/>
      <w:bookmarkStart w:id="34" w:name="_Toc7251381"/>
      <w:bookmarkStart w:id="35" w:name="_Toc13054474"/>
      <w:r>
        <w:rPr>
          <w:lang w:val="en-GB"/>
        </w:rPr>
        <w:t>Post-treatment costs</w:t>
      </w:r>
      <w:bookmarkEnd w:id="33"/>
      <w:bookmarkEnd w:id="34"/>
      <w:bookmarkEnd w:id="35"/>
    </w:p>
    <w:p w14:paraId="3730E97F" w14:textId="77777777" w:rsidR="00946A5B" w:rsidRDefault="007B4DFF" w:rsidP="00EA1A67">
      <w:pPr>
        <w:rPr>
          <w:lang w:val="en-GB"/>
        </w:rPr>
      </w:pPr>
      <w:r w:rsidRPr="007203A5">
        <w:rPr>
          <w:lang w:val="en-GB"/>
        </w:rPr>
        <w:t>The Bidder shall specify the</w:t>
      </w:r>
      <w:r>
        <w:rPr>
          <w:lang w:val="en-GB"/>
        </w:rPr>
        <w:t xml:space="preserve"> post-treatment costs to ensure </w:t>
      </w:r>
      <w:r w:rsidRPr="00467A15">
        <w:rPr>
          <w:lang w:val="en-GB"/>
        </w:rPr>
        <w:t xml:space="preserve">safe </w:t>
      </w:r>
      <w:r>
        <w:rPr>
          <w:lang w:val="en-GB"/>
        </w:rPr>
        <w:t>disposal/reprocessing of the emissions, by-products, residues and discharges.</w:t>
      </w:r>
    </w:p>
    <w:p w14:paraId="6A7A8C12" w14:textId="77777777" w:rsidR="00946A5B" w:rsidRDefault="00946A5B" w:rsidP="0084619A">
      <w:pPr>
        <w:pStyle w:val="Heading3"/>
        <w:numPr>
          <w:ilvl w:val="2"/>
          <w:numId w:val="4"/>
        </w:numPr>
        <w:ind w:left="709" w:hanging="283"/>
        <w:rPr>
          <w:lang w:val="en-GB"/>
        </w:rPr>
      </w:pPr>
      <w:r>
        <w:rPr>
          <w:lang w:val="en-GB"/>
        </w:rPr>
        <w:t xml:space="preserve">Off-site </w:t>
      </w:r>
      <w:r w:rsidR="008B10F3">
        <w:rPr>
          <w:lang w:val="en-GB"/>
        </w:rPr>
        <w:t>disposal</w:t>
      </w:r>
      <w:r>
        <w:rPr>
          <w:lang w:val="en-GB"/>
        </w:rPr>
        <w:t xml:space="preserve"> costs</w:t>
      </w:r>
    </w:p>
    <w:p w14:paraId="7A5C6DB2" w14:textId="77777777" w:rsidR="00946A5B" w:rsidRPr="001E3C74" w:rsidRDefault="00946A5B" w:rsidP="00EA1A67">
      <w:pPr>
        <w:rPr>
          <w:lang w:val="en-GB"/>
        </w:rPr>
      </w:pPr>
      <w:r w:rsidRPr="00946A5B">
        <w:rPr>
          <w:lang w:val="en-GB"/>
        </w:rPr>
        <w:t xml:space="preserve">The Bidder shall specify the costs for the off-site </w:t>
      </w:r>
      <w:r w:rsidR="008B10F3">
        <w:rPr>
          <w:lang w:val="en-GB"/>
        </w:rPr>
        <w:t>disposal</w:t>
      </w:r>
      <w:r w:rsidRPr="00946A5B">
        <w:rPr>
          <w:lang w:val="en-GB"/>
        </w:rPr>
        <w:t xml:space="preserve"> of the</w:t>
      </w:r>
      <w:r w:rsidRPr="001E3C74">
        <w:rPr>
          <w:lang w:val="en-GB"/>
        </w:rPr>
        <w:t xml:space="preserve"> HCH </w:t>
      </w:r>
      <w:r w:rsidR="008B10F3">
        <w:rPr>
          <w:lang w:val="en-GB"/>
        </w:rPr>
        <w:t xml:space="preserve">waste and the HCH </w:t>
      </w:r>
      <w:r w:rsidRPr="001E3C74">
        <w:rPr>
          <w:lang w:val="en-GB"/>
        </w:rPr>
        <w:t>contaminated soil</w:t>
      </w:r>
    </w:p>
    <w:p w14:paraId="636F2C0D" w14:textId="240C450B" w:rsidR="007B4DFF" w:rsidRPr="004F17D3" w:rsidRDefault="007B4DFF" w:rsidP="004F17D3">
      <w:pPr>
        <w:pStyle w:val="Heading1"/>
        <w:numPr>
          <w:ilvl w:val="0"/>
          <w:numId w:val="6"/>
        </w:numPr>
        <w:ind w:left="450" w:hanging="450"/>
        <w:rPr>
          <w:sz w:val="26"/>
          <w:szCs w:val="26"/>
          <w:u w:val="single"/>
          <w:lang w:val="en-GB"/>
        </w:rPr>
      </w:pPr>
      <w:bookmarkStart w:id="36" w:name="_Toc6472652"/>
      <w:bookmarkStart w:id="37" w:name="_Toc7251384"/>
      <w:bookmarkStart w:id="38" w:name="_Toc13054477"/>
      <w:r w:rsidRPr="004F17D3">
        <w:rPr>
          <w:sz w:val="26"/>
          <w:szCs w:val="26"/>
          <w:u w:val="single"/>
          <w:lang w:val="en-GB"/>
        </w:rPr>
        <w:t>Monitoring costs</w:t>
      </w:r>
      <w:bookmarkEnd w:id="36"/>
      <w:bookmarkEnd w:id="37"/>
      <w:bookmarkEnd w:id="38"/>
    </w:p>
    <w:p w14:paraId="3AF9E4CF" w14:textId="77777777" w:rsidR="007B4DFF" w:rsidRDefault="007B4DFF" w:rsidP="007B4DFF">
      <w:pPr>
        <w:rPr>
          <w:lang w:val="en-GB"/>
        </w:rPr>
      </w:pPr>
      <w:r>
        <w:rPr>
          <w:lang w:val="en-GB"/>
        </w:rPr>
        <w:t>The Bidder shall provide the costs for the l</w:t>
      </w:r>
      <w:r w:rsidRPr="007203A5">
        <w:rPr>
          <w:lang w:val="en-GB"/>
        </w:rPr>
        <w:t xml:space="preserve">aboratory analyses necessary for the </w:t>
      </w:r>
      <w:r>
        <w:rPr>
          <w:lang w:val="en-GB"/>
        </w:rPr>
        <w:t>implementation of the monitoring plan</w:t>
      </w:r>
      <w:r w:rsidRPr="007203A5">
        <w:rPr>
          <w:lang w:val="en-GB"/>
        </w:rPr>
        <w:t xml:space="preserve">. </w:t>
      </w:r>
    </w:p>
    <w:p w14:paraId="5139D0C4" w14:textId="399B3A70" w:rsidR="007B4DFF" w:rsidRPr="004F17D3" w:rsidRDefault="007B4DFF" w:rsidP="004F17D3">
      <w:pPr>
        <w:pStyle w:val="Heading1"/>
        <w:numPr>
          <w:ilvl w:val="0"/>
          <w:numId w:val="6"/>
        </w:numPr>
        <w:ind w:left="450" w:hanging="450"/>
        <w:rPr>
          <w:sz w:val="26"/>
          <w:szCs w:val="26"/>
          <w:u w:val="single"/>
          <w:lang w:val="en-GB"/>
        </w:rPr>
      </w:pPr>
      <w:bookmarkStart w:id="39" w:name="_Toc6472657"/>
      <w:bookmarkStart w:id="40" w:name="_Toc7251389"/>
      <w:bookmarkStart w:id="41" w:name="_Toc13054482"/>
      <w:r w:rsidRPr="004F17D3">
        <w:rPr>
          <w:sz w:val="26"/>
          <w:szCs w:val="26"/>
          <w:u w:val="single"/>
          <w:lang w:val="en-GB"/>
        </w:rPr>
        <w:t>Management and administration costs</w:t>
      </w:r>
      <w:bookmarkEnd w:id="39"/>
      <w:bookmarkEnd w:id="40"/>
      <w:bookmarkEnd w:id="41"/>
    </w:p>
    <w:p w14:paraId="320AE238" w14:textId="77777777" w:rsidR="007B4DFF" w:rsidRPr="003F0D86" w:rsidRDefault="007B4DFF" w:rsidP="007B4DFF">
      <w:pPr>
        <w:rPr>
          <w:lang w:val="en-GB"/>
        </w:rPr>
      </w:pPr>
      <w:r w:rsidRPr="003F0D86">
        <w:rPr>
          <w:lang w:val="en-GB"/>
        </w:rPr>
        <w:t>The Bidder shall specify the management and administration costs, with description on the number of persons and working days needed to perform the task</w:t>
      </w:r>
    </w:p>
    <w:p w14:paraId="66955136" w14:textId="77777777" w:rsidR="007B4DFF" w:rsidRPr="004F17D3" w:rsidRDefault="007B4DFF" w:rsidP="004F17D3">
      <w:pPr>
        <w:pStyle w:val="Heading1"/>
        <w:numPr>
          <w:ilvl w:val="0"/>
          <w:numId w:val="6"/>
        </w:numPr>
        <w:ind w:left="450" w:hanging="450"/>
        <w:rPr>
          <w:sz w:val="26"/>
          <w:szCs w:val="26"/>
          <w:u w:val="single"/>
          <w:lang w:val="en-GB"/>
        </w:rPr>
      </w:pPr>
      <w:bookmarkStart w:id="42" w:name="_Toc6472658"/>
      <w:r w:rsidRPr="004F17D3">
        <w:rPr>
          <w:sz w:val="26"/>
          <w:szCs w:val="26"/>
          <w:u w:val="single"/>
          <w:lang w:val="en-GB"/>
        </w:rPr>
        <w:t xml:space="preserve"> </w:t>
      </w:r>
      <w:bookmarkStart w:id="43" w:name="_Toc7251390"/>
      <w:bookmarkStart w:id="44" w:name="_Toc13054483"/>
      <w:r w:rsidRPr="004F17D3">
        <w:rPr>
          <w:sz w:val="26"/>
          <w:szCs w:val="26"/>
          <w:u w:val="single"/>
          <w:lang w:val="en-GB"/>
        </w:rPr>
        <w:t>Other costs</w:t>
      </w:r>
      <w:bookmarkEnd w:id="42"/>
      <w:bookmarkEnd w:id="43"/>
      <w:bookmarkEnd w:id="44"/>
    </w:p>
    <w:p w14:paraId="224A0BA8" w14:textId="2B0107EC" w:rsidR="0028191F" w:rsidRPr="00EA1A67" w:rsidRDefault="007B4DFF" w:rsidP="00EA1A67">
      <w:pPr>
        <w:rPr>
          <w:lang w:val="en-GB" w:eastAsia="en-GB"/>
        </w:rPr>
        <w:sectPr w:rsidR="0028191F" w:rsidRPr="00EA1A67" w:rsidSect="000532D0">
          <w:footerReference w:type="even" r:id="rId8"/>
          <w:footerReference w:type="default" r:id="rId9"/>
          <w:pgSz w:w="11906" w:h="16838" w:code="9"/>
          <w:pgMar w:top="1411" w:right="1138" w:bottom="1138" w:left="1411" w:header="706" w:footer="562" w:gutter="0"/>
          <w:cols w:space="708"/>
          <w:docGrid w:linePitch="360"/>
        </w:sectPr>
      </w:pPr>
      <w:r w:rsidRPr="003F0D86">
        <w:rPr>
          <w:szCs w:val="22"/>
          <w:lang w:val="en-GB"/>
        </w:rPr>
        <w:t xml:space="preserve">The Bidder shall specify </w:t>
      </w:r>
      <w:proofErr w:type="gramStart"/>
      <w:r w:rsidRPr="003F0D86">
        <w:rPr>
          <w:szCs w:val="22"/>
          <w:lang w:val="en-GB"/>
        </w:rPr>
        <w:t>all other costs not</w:t>
      </w:r>
      <w:proofErr w:type="gramEnd"/>
      <w:r w:rsidRPr="003F0D86">
        <w:rPr>
          <w:szCs w:val="22"/>
          <w:lang w:val="en-GB"/>
        </w:rPr>
        <w:t xml:space="preserve"> mentioned in the cost structure above.</w:t>
      </w:r>
      <w:bookmarkStart w:id="45" w:name="_Toc12363069"/>
      <w:bookmarkStart w:id="46" w:name="_Toc12434616"/>
      <w:bookmarkStart w:id="47" w:name="_Toc12363070"/>
      <w:bookmarkStart w:id="48" w:name="_Toc12434617"/>
      <w:bookmarkStart w:id="49" w:name="_Toc12363071"/>
      <w:bookmarkStart w:id="50" w:name="_Toc12434618"/>
      <w:bookmarkStart w:id="51" w:name="_Toc12363072"/>
      <w:bookmarkStart w:id="52" w:name="_Toc12434619"/>
      <w:bookmarkStart w:id="53" w:name="_Toc12363073"/>
      <w:bookmarkStart w:id="54" w:name="_Toc12434620"/>
      <w:bookmarkStart w:id="55" w:name="_Toc12363074"/>
      <w:bookmarkStart w:id="56" w:name="_Toc12434621"/>
      <w:bookmarkStart w:id="57" w:name="_Toc6472659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0DADFE28" w14:textId="27E82D44" w:rsidR="007B4DFF" w:rsidRDefault="005E495B" w:rsidP="0061066C">
      <w:pPr>
        <w:pStyle w:val="Caption"/>
      </w:pPr>
      <w:bookmarkStart w:id="58" w:name="_Toc13054637"/>
      <w:bookmarkEnd w:id="57"/>
      <w:r>
        <w:lastRenderedPageBreak/>
        <w:t xml:space="preserve">Table </w:t>
      </w:r>
      <w:r w:rsidR="00057751">
        <w:fldChar w:fldCharType="begin"/>
      </w:r>
      <w:r>
        <w:instrText xml:space="preserve"> SEQ Table \* ARABIC </w:instrText>
      </w:r>
      <w:r w:rsidR="00057751">
        <w:fldChar w:fldCharType="separate"/>
      </w:r>
      <w:r w:rsidR="008E2A53">
        <w:rPr>
          <w:noProof/>
        </w:rPr>
        <w:t>1</w:t>
      </w:r>
      <w:r w:rsidR="00057751">
        <w:fldChar w:fldCharType="end"/>
      </w:r>
      <w:r w:rsidRPr="00251CE0">
        <w:t xml:space="preserve">: </w:t>
      </w:r>
      <w:r w:rsidR="00DD4696">
        <w:t xml:space="preserve">Detailed Breakdown of the </w:t>
      </w:r>
      <w:r w:rsidR="00DD4696" w:rsidRPr="00DD4696">
        <w:t>of the firm, fixed price</w:t>
      </w:r>
      <w:r w:rsidR="007B4DFF">
        <w:t xml:space="preserve"> </w:t>
      </w:r>
      <w:r w:rsidR="00FA4C92" w:rsidRPr="000532D0">
        <w:t>for Lot 1</w:t>
      </w:r>
      <w:bookmarkEnd w:id="58"/>
    </w:p>
    <w:tbl>
      <w:tblPr>
        <w:tblW w:w="13748" w:type="dxa"/>
        <w:tblInd w:w="113" w:type="dxa"/>
        <w:tblLook w:val="04A0" w:firstRow="1" w:lastRow="0" w:firstColumn="1" w:lastColumn="0" w:noHBand="0" w:noVBand="1"/>
      </w:tblPr>
      <w:tblGrid>
        <w:gridCol w:w="960"/>
        <w:gridCol w:w="6685"/>
        <w:gridCol w:w="1260"/>
        <w:gridCol w:w="2263"/>
        <w:gridCol w:w="1120"/>
        <w:gridCol w:w="1460"/>
      </w:tblGrid>
      <w:tr w:rsidR="007B4DFF" w:rsidRPr="004F3103" w14:paraId="2237FFDD" w14:textId="77777777" w:rsidTr="00D7052D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3139" w14:textId="77777777" w:rsidR="007B4DFF" w:rsidRPr="004F3103" w:rsidRDefault="007B4DFF" w:rsidP="00A15DB5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 w:rsidRPr="004F3103">
              <w:rPr>
                <w:i/>
                <w:iCs/>
                <w:sz w:val="24"/>
                <w:lang w:val="en-US" w:eastAsia="en-US"/>
              </w:rPr>
              <w:t>Item No.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4C13" w14:textId="77777777" w:rsidR="007B4DFF" w:rsidRPr="004F3103" w:rsidRDefault="007B4DFF" w:rsidP="00A15DB5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 w:rsidRPr="004F3103">
              <w:rPr>
                <w:i/>
                <w:iCs/>
                <w:sz w:val="24"/>
                <w:lang w:val="en-US" w:eastAsia="en-US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2BD3" w14:textId="77777777" w:rsidR="007B4DFF" w:rsidRPr="004F3103" w:rsidRDefault="007B4DFF" w:rsidP="00A15DB5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 w:rsidRPr="004F3103">
              <w:rPr>
                <w:i/>
                <w:iCs/>
                <w:sz w:val="24"/>
                <w:lang w:val="en-US" w:eastAsia="en-US"/>
              </w:rPr>
              <w:t>Unit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CF6" w14:textId="77777777" w:rsidR="007B4DFF" w:rsidRPr="004F3103" w:rsidRDefault="007B4DFF" w:rsidP="00A15DB5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 w:rsidRPr="004F3103">
              <w:rPr>
                <w:i/>
                <w:iCs/>
                <w:sz w:val="24"/>
                <w:lang w:val="en-US" w:eastAsia="en-US"/>
              </w:rPr>
              <w:t>Quantity</w:t>
            </w:r>
            <w:r w:rsidR="00FA4C92">
              <w:rPr>
                <w:i/>
                <w:iCs/>
                <w:sz w:val="24"/>
                <w:lang w:val="en-US" w:eastAsia="en-US"/>
              </w:rPr>
              <w:t xml:space="preserve"> for Lot 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502" w14:textId="76FD33CC" w:rsidR="007B4DFF" w:rsidRPr="004F3103" w:rsidRDefault="00FA4C92" w:rsidP="00A15DB5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 xml:space="preserve">Unit Cost </w:t>
            </w:r>
            <w:r w:rsidR="007B4DFF">
              <w:rPr>
                <w:i/>
                <w:iCs/>
                <w:sz w:val="24"/>
                <w:lang w:val="en-US" w:eastAsia="en-US"/>
              </w:rPr>
              <w:t>(USD)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6D3" w14:textId="5AB0BC5D" w:rsidR="007B4DFF" w:rsidRPr="004F3103" w:rsidRDefault="00FA4C92" w:rsidP="00A15DB5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 xml:space="preserve">Total cost </w:t>
            </w:r>
            <w:r w:rsidR="007B4DFF">
              <w:rPr>
                <w:i/>
                <w:iCs/>
                <w:sz w:val="24"/>
                <w:lang w:val="en-US" w:eastAsia="en-US"/>
              </w:rPr>
              <w:t>(USD)</w:t>
            </w:r>
          </w:p>
        </w:tc>
      </w:tr>
      <w:tr w:rsidR="007B4DFF" w:rsidRPr="004F3103" w14:paraId="7A8EEBE7" w14:textId="77777777" w:rsidTr="00D7052D">
        <w:trPr>
          <w:trHeight w:val="439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F9880" w14:textId="77777777" w:rsidR="007B4DFF" w:rsidRPr="004F3103" w:rsidRDefault="007B4DFF" w:rsidP="00A15DB5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 w:rsidRPr="004F3103">
              <w:rPr>
                <w:b/>
                <w:bCs/>
                <w:sz w:val="24"/>
                <w:lang w:val="en-US" w:eastAsia="en-US"/>
              </w:rPr>
              <w:t>1.0 Preparatory phase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A50D3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B7ED3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4C21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61E9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7B4DFF" w:rsidRPr="004F3103" w14:paraId="424A8C89" w14:textId="77777777" w:rsidTr="00D7052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E8F7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2E0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Preparation of the site remediation plan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A85E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F272" w14:textId="77777777" w:rsidR="007B4DFF" w:rsidRPr="004F3103" w:rsidRDefault="007B4DFF" w:rsidP="00A15DB5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026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F9D" w14:textId="77777777" w:rsidR="007B4DFF" w:rsidRPr="004F3103" w:rsidRDefault="007B4DFF" w:rsidP="00A15DB5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8B36C9" w:rsidRPr="004F3103" w14:paraId="76B25647" w14:textId="77777777" w:rsidTr="00D7052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4DF2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1.2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10D89" w14:textId="06711D0C" w:rsidR="008B36C9" w:rsidRPr="004F3103" w:rsidRDefault="0084619A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84619A">
              <w:rPr>
                <w:sz w:val="24"/>
                <w:lang w:val="en-US" w:eastAsia="en-US"/>
              </w:rPr>
              <w:t>Logistics and infrastructural costs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12BB0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606EE" w14:textId="77777777" w:rsidR="008B36C9" w:rsidRPr="004F3103" w:rsidRDefault="008B36C9" w:rsidP="008B36C9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CC60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58A4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8B36C9" w:rsidRPr="004F3103" w14:paraId="7B0B9EF8" w14:textId="77777777" w:rsidTr="00D7052D">
        <w:trPr>
          <w:trHeight w:val="439"/>
        </w:trPr>
        <w:tc>
          <w:tcPr>
            <w:tcW w:w="1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E5AB" w14:textId="3C7409BC" w:rsidR="008B36C9" w:rsidRPr="004F3103" w:rsidRDefault="008B36C9" w:rsidP="008B36C9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2</w:t>
            </w:r>
            <w:r w:rsidRPr="004F3103">
              <w:rPr>
                <w:b/>
                <w:bCs/>
                <w:sz w:val="24"/>
                <w:lang w:val="en-US" w:eastAsia="en-US"/>
              </w:rPr>
              <w:t>.0 Excavation, packing</w:t>
            </w:r>
            <w:r>
              <w:rPr>
                <w:b/>
                <w:bCs/>
                <w:sz w:val="24"/>
                <w:lang w:val="en-US" w:eastAsia="en-US"/>
              </w:rPr>
              <w:t xml:space="preserve"> and </w:t>
            </w:r>
            <w:r w:rsidRPr="004F3103">
              <w:rPr>
                <w:b/>
                <w:bCs/>
                <w:sz w:val="24"/>
                <w:lang w:val="en-US" w:eastAsia="en-US"/>
              </w:rPr>
              <w:t>transportation of the HCH waste and contaminated soil from the delta dump</w:t>
            </w:r>
          </w:p>
        </w:tc>
      </w:tr>
      <w:tr w:rsidR="008B36C9" w:rsidRPr="004F3103" w14:paraId="1A40301C" w14:textId="77777777" w:rsidTr="00D7052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85BC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  <w:r w:rsidRPr="004F3103">
              <w:rPr>
                <w:sz w:val="24"/>
                <w:lang w:val="en-US" w:eastAsia="en-US"/>
              </w:rPr>
              <w:t>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37AA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Excavation and separation of the HCH waste and the contaminated 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1B4" w14:textId="4AA649DD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46C" w14:textId="234E5A37" w:rsidR="008B36C9" w:rsidRPr="004F3103" w:rsidRDefault="00097E52" w:rsidP="008B36C9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1DD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414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8B36C9" w:rsidRPr="004F3103" w14:paraId="4853868D" w14:textId="77777777" w:rsidTr="00D7052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888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  <w:r w:rsidRPr="004F3103">
              <w:rPr>
                <w:sz w:val="24"/>
                <w:lang w:val="en-US" w:eastAsia="en-US"/>
              </w:rPr>
              <w:t>.2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DE3" w14:textId="0FE7B7D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Packing of the 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2CE" w14:textId="47846E00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932" w14:textId="3E7CC6FF" w:rsidR="008B36C9" w:rsidRPr="004F3103" w:rsidRDefault="00097E52" w:rsidP="008B36C9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D6A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BF0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8B36C9" w:rsidRPr="004F3103" w14:paraId="77233703" w14:textId="77777777" w:rsidTr="00D7052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AA2F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  <w:r w:rsidRPr="004F3103">
              <w:rPr>
                <w:sz w:val="24"/>
                <w:lang w:val="en-US" w:eastAsia="en-US"/>
              </w:rPr>
              <w:t>.3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A8B" w14:textId="53EB0C09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Transportation of the 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ECB" w14:textId="7B39A895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BF5" w14:textId="6E054ADF" w:rsidR="008B36C9" w:rsidRPr="004F3103" w:rsidRDefault="00097E52" w:rsidP="008B36C9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35F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448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8B36C9" w:rsidRPr="004F3103" w14:paraId="10C5FDC5" w14:textId="77777777" w:rsidTr="00D7052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6DD8" w14:textId="77777777" w:rsidR="008B36C9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2.4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C5C6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 xml:space="preserve">Packing of the HCH </w:t>
            </w:r>
            <w:r>
              <w:rPr>
                <w:sz w:val="24"/>
                <w:lang w:val="en-US" w:eastAsia="en-US"/>
              </w:rPr>
              <w:t>contaminated 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E94A" w14:textId="5C1638D5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5647EA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83BE" w14:textId="56712575" w:rsidR="008B36C9" w:rsidDel="00EC752E" w:rsidRDefault="00097E52" w:rsidP="008B36C9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D66C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A684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8B36C9" w:rsidRPr="004F3103" w14:paraId="691357E2" w14:textId="77777777" w:rsidTr="00D7052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2844" w14:textId="77777777" w:rsidR="008B36C9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2.5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66EF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 xml:space="preserve">Transportation of the HCH </w:t>
            </w:r>
            <w:r>
              <w:rPr>
                <w:sz w:val="24"/>
                <w:lang w:val="en-US" w:eastAsia="en-US"/>
              </w:rPr>
              <w:t>contaminated 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BB6F" w14:textId="5B8F2BE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5647EA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7EA4" w14:textId="7D8B3DF6" w:rsidR="008B36C9" w:rsidDel="00EC752E" w:rsidRDefault="00097E52" w:rsidP="008B36C9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5A4F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3E94" w14:textId="77777777" w:rsidR="008B36C9" w:rsidRPr="004F3103" w:rsidRDefault="008B36C9" w:rsidP="008B36C9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2A0AEB" w:rsidRPr="004F3103" w14:paraId="4A7C4C67" w14:textId="77777777" w:rsidTr="00D7052D">
        <w:trPr>
          <w:trHeight w:val="439"/>
        </w:trPr>
        <w:tc>
          <w:tcPr>
            <w:tcW w:w="1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A6CA" w14:textId="77777777" w:rsidR="002A0AEB" w:rsidRPr="004F3103" w:rsidRDefault="002A0AEB" w:rsidP="002A0AEB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3</w:t>
            </w:r>
            <w:r w:rsidRPr="004F3103">
              <w:rPr>
                <w:b/>
                <w:bCs/>
                <w:sz w:val="24"/>
                <w:lang w:val="en-US" w:eastAsia="en-US"/>
              </w:rPr>
              <w:t>.0 Remediation</w:t>
            </w:r>
            <w:r>
              <w:rPr>
                <w:b/>
                <w:bCs/>
                <w:sz w:val="24"/>
                <w:lang w:val="en-US" w:eastAsia="en-US"/>
              </w:rPr>
              <w:t>/disposal</w:t>
            </w:r>
            <w:r w:rsidRPr="004F3103">
              <w:rPr>
                <w:b/>
                <w:bCs/>
                <w:sz w:val="24"/>
                <w:lang w:val="en-US" w:eastAsia="en-US"/>
              </w:rPr>
              <w:t xml:space="preserve"> of the HCH contaminated soil </w:t>
            </w:r>
            <w:r>
              <w:rPr>
                <w:b/>
                <w:bCs/>
                <w:sz w:val="24"/>
                <w:lang w:val="en-US" w:eastAsia="en-US"/>
              </w:rPr>
              <w:t xml:space="preserve">and the HCH waste </w:t>
            </w:r>
            <w:r w:rsidRPr="004F3103">
              <w:rPr>
                <w:b/>
                <w:bCs/>
                <w:sz w:val="24"/>
                <w:lang w:val="en-US" w:eastAsia="en-US"/>
              </w:rPr>
              <w:t xml:space="preserve">from the delta dump </w:t>
            </w:r>
          </w:p>
        </w:tc>
      </w:tr>
      <w:tr w:rsidR="002A0AEB" w:rsidRPr="004F3103" w14:paraId="0C56E987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61D2" w14:textId="1E9425AC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  <w:r w:rsidRPr="004F3103">
              <w:rPr>
                <w:sz w:val="24"/>
                <w:lang w:val="en-US" w:eastAsia="en-US"/>
              </w:rPr>
              <w:t>.</w:t>
            </w: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2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CA947" w14:textId="326FA411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Operational and maintenance costs</w:t>
            </w:r>
          </w:p>
        </w:tc>
      </w:tr>
      <w:tr w:rsidR="002A0AEB" w:rsidRPr="004F3103" w14:paraId="7043BEFD" w14:textId="77777777" w:rsidTr="000532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A69F" w14:textId="3475E86A" w:rsidR="002A0AEB" w:rsidRPr="004F3103" w:rsidRDefault="002A0AEB" w:rsidP="002A0AEB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3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1E43" w14:textId="2A61F570" w:rsidR="002A0AEB" w:rsidRPr="00DE11FB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Pre-treatment cost</w:t>
            </w:r>
            <w:r>
              <w:rPr>
                <w:sz w:val="24"/>
                <w:lang w:val="en-US" w:eastAsia="en-US"/>
              </w:rPr>
              <w:t>s</w:t>
            </w:r>
          </w:p>
          <w:p w14:paraId="00249896" w14:textId="496A8310" w:rsidR="002A0AEB" w:rsidRPr="00DE11FB" w:rsidRDefault="002A0AEB" w:rsidP="002A0AE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contaminated soil</w:t>
            </w:r>
          </w:p>
          <w:p w14:paraId="0D8A2603" w14:textId="5540CBAB" w:rsidR="002A0AEB" w:rsidRPr="000532D0" w:rsidRDefault="002A0AEB" w:rsidP="000409D5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0B7F" w14:textId="0B1195BE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E878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</w:p>
          <w:p w14:paraId="36F13FE8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  <w:p w14:paraId="5F82C8C6" w14:textId="6E8580FC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3244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287B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2372B9F7" w14:textId="77777777" w:rsidTr="000532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D49C" w14:textId="12B23FEE" w:rsidR="002A0AEB" w:rsidRPr="004F3103" w:rsidRDefault="002A0AEB" w:rsidP="002A0AEB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3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F292" w14:textId="77777777" w:rsidR="002A0AEB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Utilities costs</w:t>
            </w:r>
          </w:p>
          <w:p w14:paraId="25368B41" w14:textId="2417CAE3" w:rsidR="002A0AEB" w:rsidRPr="00EB03C6" w:rsidRDefault="002A0AEB" w:rsidP="002A0AE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 xml:space="preserve">HCH contaminated soil </w:t>
            </w:r>
          </w:p>
          <w:p w14:paraId="71A369AB" w14:textId="6CA8BB74" w:rsidR="002A0AEB" w:rsidRPr="00DE11FB" w:rsidRDefault="002A0AEB" w:rsidP="000409D5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AED9" w14:textId="5B4B5504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FEF2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</w:p>
          <w:p w14:paraId="460F820F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  <w:p w14:paraId="655579B2" w14:textId="74096632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8AB7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5B48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374B8D6C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0649" w14:textId="27A29403" w:rsidR="002A0AEB" w:rsidRPr="004F3103" w:rsidRDefault="002A0AEB" w:rsidP="002A0AEB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3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E7B6" w14:textId="77777777" w:rsidR="002A0AEB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Consumable materials costs</w:t>
            </w:r>
          </w:p>
          <w:p w14:paraId="695E97FD" w14:textId="0B339569" w:rsidR="002A0AEB" w:rsidRPr="00EB03C6" w:rsidRDefault="002A0AEB" w:rsidP="002A0AE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contaminated soil</w:t>
            </w:r>
          </w:p>
          <w:p w14:paraId="6FDED1EB" w14:textId="5E001CE3" w:rsidR="002A0AEB" w:rsidRPr="002458FB" w:rsidRDefault="002A0AEB" w:rsidP="000409D5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1570" w14:textId="2314F6B5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2151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</w:p>
          <w:p w14:paraId="1210F868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  <w:p w14:paraId="66CB5E33" w14:textId="76493965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B5AD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7DF1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13AAE866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4046" w14:textId="722BC802" w:rsidR="002A0AEB" w:rsidRPr="004F3103" w:rsidRDefault="002A0AEB" w:rsidP="002A0AEB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3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6BBB" w14:textId="77777777" w:rsidR="002A0AEB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Spare parts costs</w:t>
            </w:r>
          </w:p>
          <w:p w14:paraId="3DB8B867" w14:textId="1A0113DC" w:rsidR="002A0AEB" w:rsidRPr="00EB03C6" w:rsidRDefault="002A0AEB" w:rsidP="002A0AE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 xml:space="preserve">HCH contaminated soil </w:t>
            </w:r>
          </w:p>
          <w:p w14:paraId="2817A7AE" w14:textId="372E4000" w:rsidR="002A0AEB" w:rsidRPr="002458FB" w:rsidRDefault="002A0AEB" w:rsidP="000409D5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876B" w14:textId="14A4D95C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4211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</w:p>
          <w:p w14:paraId="5BDB4CAF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  <w:p w14:paraId="46BFD91B" w14:textId="13334FCD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B45A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CED8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31E6EFCC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3FD0" w14:textId="328939D9" w:rsidR="002A0AEB" w:rsidRPr="004F3103" w:rsidRDefault="002A0AEB" w:rsidP="002A0AEB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lastRenderedPageBreak/>
              <w:t>3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7622" w14:textId="77777777" w:rsidR="002A0AEB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Labor costs</w:t>
            </w:r>
          </w:p>
          <w:p w14:paraId="53AAA237" w14:textId="0DFE15CB" w:rsidR="002A0AEB" w:rsidRPr="00EB03C6" w:rsidRDefault="00491238" w:rsidP="002A0AE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contaminated soil</w:t>
            </w:r>
          </w:p>
          <w:p w14:paraId="5176CF3A" w14:textId="0DA7156A" w:rsidR="002A0AEB" w:rsidRPr="0097287F" w:rsidRDefault="002A0AEB" w:rsidP="000409D5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B48B" w14:textId="557D1385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E28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</w:p>
          <w:p w14:paraId="78BF012E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  <w:p w14:paraId="4133157B" w14:textId="3A62BF6A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F97B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CFCE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607A0C5E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3669" w14:textId="79562723" w:rsidR="002A0AEB" w:rsidRPr="004F3103" w:rsidRDefault="002A0AEB" w:rsidP="002A0AEB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3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.6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10B1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Post-treatment costs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3922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973B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9005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E4A2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3F4D52A0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531B" w14:textId="77777777" w:rsidR="002A0AEB" w:rsidRDefault="002A0AEB" w:rsidP="002A0AEB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3.1.7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2BDB" w14:textId="77777777" w:rsidR="002A0AEB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Off-site disposal costs</w:t>
            </w:r>
          </w:p>
          <w:p w14:paraId="2910E6BB" w14:textId="14B8F63E" w:rsidR="002A0AEB" w:rsidRPr="00EB03C6" w:rsidRDefault="002A0AEB" w:rsidP="002A0AE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 xml:space="preserve">HCH contaminated soil </w:t>
            </w:r>
          </w:p>
          <w:p w14:paraId="43360E4C" w14:textId="6F29E150" w:rsidR="002A0AEB" w:rsidRPr="0097287F" w:rsidRDefault="002A0AEB" w:rsidP="000409D5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4B23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Tons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C4D7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</w:p>
          <w:p w14:paraId="26561FA9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  <w:p w14:paraId="2A8222CE" w14:textId="51095A94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0F4D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EE57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2A0AEB" w:rsidRPr="004F3103" w14:paraId="6558895F" w14:textId="77777777" w:rsidTr="00D7052D">
        <w:trPr>
          <w:trHeight w:val="255"/>
        </w:trPr>
        <w:tc>
          <w:tcPr>
            <w:tcW w:w="1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A1CD95" w14:textId="77777777" w:rsidR="002A0AEB" w:rsidRPr="004F3103" w:rsidRDefault="002A0AEB" w:rsidP="002A0AEB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4</w:t>
            </w:r>
            <w:r w:rsidRPr="004F3103">
              <w:rPr>
                <w:b/>
                <w:bCs/>
                <w:sz w:val="24"/>
                <w:lang w:val="en-US" w:eastAsia="en-US"/>
              </w:rPr>
              <w:t>.0 Monitoring costs</w:t>
            </w:r>
          </w:p>
        </w:tc>
      </w:tr>
      <w:tr w:rsidR="002A0AEB" w:rsidRPr="004F3103" w14:paraId="688C971F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DCDA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</w:t>
            </w:r>
            <w:r w:rsidRPr="004F3103">
              <w:rPr>
                <w:sz w:val="24"/>
                <w:lang w:val="en-US" w:eastAsia="en-US"/>
              </w:rPr>
              <w:t>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6D95" w14:textId="1C99E389" w:rsidR="002A0AEB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 xml:space="preserve">Successfulness of the </w:t>
            </w:r>
            <w:r>
              <w:rPr>
                <w:sz w:val="24"/>
                <w:lang w:val="en-US" w:eastAsia="en-US"/>
              </w:rPr>
              <w:t>remediation</w:t>
            </w:r>
            <w:r w:rsidRPr="004F3103">
              <w:rPr>
                <w:sz w:val="24"/>
                <w:lang w:val="en-US" w:eastAsia="en-US"/>
              </w:rPr>
              <w:t xml:space="preserve"> </w:t>
            </w:r>
          </w:p>
          <w:p w14:paraId="710C0388" w14:textId="3DD9D55D" w:rsidR="002A0AEB" w:rsidRPr="00EB03C6" w:rsidRDefault="002A0AEB" w:rsidP="002A0AEB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 xml:space="preserve">HCH contaminated soil </w:t>
            </w:r>
          </w:p>
          <w:p w14:paraId="20175AC8" w14:textId="38FA086C" w:rsidR="00006202" w:rsidRPr="004F3103" w:rsidRDefault="002A0AEB" w:rsidP="000409D5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sz w:val="24"/>
                <w:lang w:val="en-US" w:eastAsia="en-US"/>
              </w:rPr>
            </w:pPr>
            <w:r>
              <w:t>HCH waste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7E5A" w14:textId="56BAB53E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Tons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2362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</w:p>
          <w:p w14:paraId="5CC943EB" w14:textId="77777777" w:rsidR="002A0AEB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2,500</w:t>
            </w:r>
          </w:p>
          <w:p w14:paraId="69B61869" w14:textId="53C7E762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6C8F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5975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105BC210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743F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</w:t>
            </w:r>
            <w:r w:rsidRPr="004F3103">
              <w:rPr>
                <w:sz w:val="24"/>
                <w:lang w:val="en-US" w:eastAsia="en-US"/>
              </w:rPr>
              <w:t>.2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9BFC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Environmental media (air, groundwater)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D935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84BE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5998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FDA0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2C17F0B0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989C" w14:textId="77777777" w:rsidR="002A0AEB" w:rsidRPr="004F3103" w:rsidRDefault="002A0AEB" w:rsidP="002A0AEB">
            <w:pPr>
              <w:widowControl/>
              <w:spacing w:after="0"/>
              <w:rPr>
                <w:iCs/>
                <w:sz w:val="24"/>
                <w:lang w:val="en-US" w:eastAsia="en-US"/>
              </w:rPr>
            </w:pPr>
            <w:r w:rsidRPr="004F3103">
              <w:rPr>
                <w:iCs/>
                <w:sz w:val="24"/>
                <w:lang w:val="en-US" w:eastAsia="en-US"/>
              </w:rPr>
              <w:t>4.3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6660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 xml:space="preserve">Medical </w:t>
            </w:r>
            <w:proofErr w:type="spellStart"/>
            <w:r w:rsidRPr="004F3103">
              <w:rPr>
                <w:sz w:val="24"/>
                <w:lang w:val="en-US" w:eastAsia="en-US"/>
              </w:rPr>
              <w:t>check up</w:t>
            </w:r>
            <w:proofErr w:type="spellEnd"/>
            <w:r w:rsidRPr="004F3103">
              <w:rPr>
                <w:sz w:val="24"/>
                <w:lang w:val="en-US" w:eastAsia="en-US"/>
              </w:rPr>
              <w:t xml:space="preserve"> of the workers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3237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2A71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264E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5329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4E360C45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4A88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</w:t>
            </w:r>
            <w:r w:rsidRPr="004F3103">
              <w:rPr>
                <w:sz w:val="24"/>
                <w:lang w:val="en-US" w:eastAsia="en-US"/>
              </w:rPr>
              <w:t>.4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EE5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Post-remediation monitoring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8B6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FEF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EA4B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0A40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2882E0E2" w14:textId="77777777" w:rsidTr="00D7052D">
        <w:trPr>
          <w:trHeight w:val="255"/>
        </w:trPr>
        <w:tc>
          <w:tcPr>
            <w:tcW w:w="1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96CD" w14:textId="77777777" w:rsidR="002A0AEB" w:rsidRPr="004F3103" w:rsidRDefault="002A0AEB" w:rsidP="002A0AEB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5</w:t>
            </w:r>
            <w:r w:rsidRPr="004F3103">
              <w:rPr>
                <w:b/>
                <w:bCs/>
                <w:sz w:val="24"/>
                <w:lang w:val="en-US" w:eastAsia="en-US"/>
              </w:rPr>
              <w:t>.0 Management and administration costs</w:t>
            </w:r>
          </w:p>
        </w:tc>
      </w:tr>
      <w:tr w:rsidR="002A0AEB" w:rsidRPr="004F3103" w14:paraId="0042EFDA" w14:textId="77777777" w:rsidTr="00D7052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099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</w:t>
            </w:r>
            <w:r w:rsidRPr="004F3103">
              <w:rPr>
                <w:sz w:val="24"/>
                <w:lang w:val="en-US" w:eastAsia="en-US"/>
              </w:rPr>
              <w:t>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96E5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Indicate the management/administration costs for the involved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CD1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Months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783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3F2A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E82D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5A9932C6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678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</w:t>
            </w:r>
            <w:r w:rsidRPr="004F3103">
              <w:rPr>
                <w:sz w:val="24"/>
                <w:lang w:val="en-US" w:eastAsia="en-US"/>
              </w:rPr>
              <w:t>.2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CE2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Administrative costs (insurances, guarantees, Basel fees)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1050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881B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52BF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2230" w14:textId="77777777" w:rsidR="002A0AEB" w:rsidRPr="004F3103" w:rsidRDefault="002A0AEB" w:rsidP="002A0AEB">
            <w:pPr>
              <w:widowControl/>
              <w:spacing w:after="0"/>
              <w:jc w:val="right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55A0C951" w14:textId="77777777" w:rsidTr="00D7052D">
        <w:trPr>
          <w:trHeight w:val="255"/>
        </w:trPr>
        <w:tc>
          <w:tcPr>
            <w:tcW w:w="1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BDA2" w14:textId="77777777" w:rsidR="002A0AEB" w:rsidRPr="004F3103" w:rsidRDefault="002A0AEB" w:rsidP="002A0AEB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6</w:t>
            </w:r>
            <w:r w:rsidRPr="004F3103">
              <w:rPr>
                <w:b/>
                <w:bCs/>
                <w:sz w:val="24"/>
                <w:lang w:val="en-US" w:eastAsia="en-US"/>
              </w:rPr>
              <w:t>.0 Other costs</w:t>
            </w:r>
          </w:p>
        </w:tc>
      </w:tr>
      <w:tr w:rsidR="002A0AEB" w:rsidRPr="004F3103" w14:paraId="388FF750" w14:textId="77777777" w:rsidTr="00D70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D9F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6</w:t>
            </w:r>
            <w:r w:rsidRPr="004F3103">
              <w:rPr>
                <w:sz w:val="24"/>
                <w:lang w:val="en-US" w:eastAsia="en-US"/>
              </w:rPr>
              <w:t>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466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Indicate other costs not specified above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30C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A5B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B56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9C3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34D33659" w14:textId="77777777" w:rsidTr="00D7052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7C1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  <w:tc>
          <w:tcPr>
            <w:tcW w:w="1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E9BA" w14:textId="77777777" w:rsidR="002A0AEB" w:rsidRPr="004F3103" w:rsidRDefault="002A0AEB" w:rsidP="002A0AEB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 w:rsidRPr="004F3103">
              <w:rPr>
                <w:b/>
                <w:bCs/>
                <w:sz w:val="24"/>
                <w:lang w:val="en-US" w:eastAsia="en-US"/>
              </w:rPr>
              <w:t>Total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 w:rsidRPr="00EE258D">
              <w:rPr>
                <w:b/>
                <w:bCs/>
                <w:sz w:val="24"/>
                <w:lang w:val="en-US" w:eastAsia="en-US"/>
              </w:rPr>
              <w:t xml:space="preserve">(all-inclusive fix and firm price) </w:t>
            </w:r>
            <w:r>
              <w:rPr>
                <w:b/>
                <w:bCs/>
                <w:sz w:val="24"/>
                <w:lang w:val="en-US" w:eastAsia="en-US"/>
              </w:rPr>
              <w:t xml:space="preserve">in USD for Lot 1, </w:t>
            </w:r>
            <w:r w:rsidRPr="00EE258D">
              <w:rPr>
                <w:b/>
                <w:bCs/>
                <w:sz w:val="24"/>
                <w:lang w:val="en-US" w:eastAsia="en-US"/>
              </w:rPr>
              <w:t>excluding VAT</w:t>
            </w:r>
            <w:r w:rsidRPr="004F3103">
              <w:rPr>
                <w:b/>
                <w:bCs/>
                <w:sz w:val="24"/>
                <w:lang w:val="en-US" w:eastAsia="en-US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4A68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2A0AEB" w:rsidRPr="004F3103" w14:paraId="455EB031" w14:textId="77777777" w:rsidTr="00D7052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C183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  <w:tc>
          <w:tcPr>
            <w:tcW w:w="1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47584" w14:textId="77777777" w:rsidR="002A0AEB" w:rsidRPr="004F3103" w:rsidRDefault="002A0AEB" w:rsidP="002A0AEB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 w:rsidRPr="00EE258D">
              <w:rPr>
                <w:b/>
                <w:bCs/>
                <w:sz w:val="24"/>
                <w:lang w:val="en-US" w:eastAsia="en-US"/>
              </w:rPr>
              <w:t>T</w:t>
            </w:r>
            <w:r>
              <w:rPr>
                <w:b/>
                <w:bCs/>
                <w:sz w:val="24"/>
                <w:lang w:val="en-US" w:eastAsia="en-US"/>
              </w:rPr>
              <w:t>otal</w:t>
            </w:r>
            <w:r w:rsidRPr="00EE258D">
              <w:rPr>
                <w:b/>
                <w:bCs/>
                <w:sz w:val="24"/>
                <w:lang w:val="en-US" w:eastAsia="en-US"/>
              </w:rPr>
              <w:t xml:space="preserve"> (all-inclusive fix and firm price) </w:t>
            </w:r>
            <w:r>
              <w:rPr>
                <w:b/>
                <w:bCs/>
                <w:sz w:val="24"/>
                <w:lang w:val="en-US" w:eastAsia="en-US"/>
              </w:rPr>
              <w:t xml:space="preserve">in USD for Lot 1, </w:t>
            </w:r>
            <w:r w:rsidRPr="00EE258D">
              <w:rPr>
                <w:b/>
                <w:bCs/>
                <w:sz w:val="24"/>
                <w:lang w:val="en-US" w:eastAsia="en-US"/>
              </w:rPr>
              <w:t>excluding VAT</w:t>
            </w:r>
            <w:r>
              <w:rPr>
                <w:b/>
                <w:bCs/>
                <w:sz w:val="24"/>
                <w:lang w:val="en-US" w:eastAsia="en-US"/>
              </w:rPr>
              <w:t xml:space="preserve">, </w:t>
            </w:r>
            <w:r w:rsidRPr="00EE258D">
              <w:rPr>
                <w:b/>
                <w:bCs/>
                <w:sz w:val="24"/>
                <w:lang w:val="en-US" w:eastAsia="en-US"/>
              </w:rPr>
              <w:t>inclusive of DISCOUNT (if offered):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01E5" w14:textId="77777777" w:rsidR="002A0AEB" w:rsidRPr="004F3103" w:rsidRDefault="002A0AEB" w:rsidP="002A0AEB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</w:tbl>
    <w:p w14:paraId="75059675" w14:textId="77777777" w:rsidR="00FA4C92" w:rsidRDefault="00FA4C92" w:rsidP="0036759E">
      <w:pPr>
        <w:tabs>
          <w:tab w:val="left" w:pos="6480"/>
          <w:tab w:val="left" w:pos="7380"/>
        </w:tabs>
        <w:spacing w:after="0"/>
      </w:pPr>
    </w:p>
    <w:p w14:paraId="0CC65671" w14:textId="77777777" w:rsidR="00C55BDE" w:rsidRDefault="00C55BDE" w:rsidP="008E2A53">
      <w:pPr>
        <w:pStyle w:val="Caption"/>
      </w:pPr>
    </w:p>
    <w:p w14:paraId="7D9DC4E1" w14:textId="77777777" w:rsidR="00C55BDE" w:rsidRDefault="00C55BDE" w:rsidP="008E2A53">
      <w:pPr>
        <w:pStyle w:val="Caption"/>
      </w:pPr>
      <w:r>
        <w:br/>
      </w:r>
    </w:p>
    <w:p w14:paraId="4788A1F6" w14:textId="42301235" w:rsidR="008E2A53" w:rsidRDefault="008E2A53" w:rsidP="008E2A53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251CE0">
        <w:t>:</w:t>
      </w:r>
      <w:r w:rsidR="00DD4696">
        <w:t xml:space="preserve"> </w:t>
      </w:r>
      <w:r w:rsidR="00F178A7">
        <w:t>P</w:t>
      </w:r>
      <w:r w:rsidR="00DD4696">
        <w:t>rice for</w:t>
      </w:r>
      <w:r>
        <w:t xml:space="preserve"> HCH contaminated concrete</w:t>
      </w:r>
      <w:r w:rsidR="00970BC7">
        <w:t xml:space="preserve"> and the revitalization/restoration of the plant site</w:t>
      </w:r>
    </w:p>
    <w:p w14:paraId="149E1690" w14:textId="77777777" w:rsidR="00F60AA5" w:rsidRDefault="00F60AA5" w:rsidP="0036759E">
      <w:pPr>
        <w:tabs>
          <w:tab w:val="left" w:pos="6480"/>
          <w:tab w:val="left" w:pos="7380"/>
        </w:tabs>
        <w:spacing w:after="0"/>
      </w:pPr>
    </w:p>
    <w:tbl>
      <w:tblPr>
        <w:tblW w:w="13748" w:type="dxa"/>
        <w:tblInd w:w="113" w:type="dxa"/>
        <w:tblLook w:val="04A0" w:firstRow="1" w:lastRow="0" w:firstColumn="1" w:lastColumn="0" w:noHBand="0" w:noVBand="1"/>
      </w:tblPr>
      <w:tblGrid>
        <w:gridCol w:w="960"/>
        <w:gridCol w:w="6685"/>
        <w:gridCol w:w="2767"/>
        <w:gridCol w:w="3336"/>
      </w:tblGrid>
      <w:tr w:rsidR="00DD4696" w:rsidRPr="004F3103" w14:paraId="02BF48C7" w14:textId="77777777" w:rsidTr="00BF0298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DC3" w14:textId="77777777" w:rsidR="00DD4696" w:rsidRPr="004F3103" w:rsidRDefault="00DD4696" w:rsidP="00490227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 w:rsidRPr="004F3103">
              <w:rPr>
                <w:i/>
                <w:iCs/>
                <w:sz w:val="24"/>
                <w:lang w:val="en-US" w:eastAsia="en-US"/>
              </w:rPr>
              <w:t>Item No.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A55" w14:textId="77777777" w:rsidR="00DD4696" w:rsidRPr="004F3103" w:rsidRDefault="00DD4696" w:rsidP="00490227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 w:rsidRPr="004F3103">
              <w:rPr>
                <w:i/>
                <w:iCs/>
                <w:sz w:val="24"/>
                <w:lang w:val="en-US" w:eastAsia="en-US"/>
              </w:rPr>
              <w:t>Description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636" w14:textId="77777777" w:rsidR="00DD4696" w:rsidRPr="004F3103" w:rsidRDefault="00DD4696" w:rsidP="00490227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 w:rsidRPr="004F3103">
              <w:rPr>
                <w:i/>
                <w:iCs/>
                <w:sz w:val="24"/>
                <w:lang w:val="en-US" w:eastAsia="en-US"/>
              </w:rPr>
              <w:t>Unit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644" w14:textId="01EDC872" w:rsidR="00DD4696" w:rsidRPr="004F3103" w:rsidRDefault="00DD4696" w:rsidP="00490227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</w:p>
          <w:p w14:paraId="2B01E51D" w14:textId="1A2F6CB2" w:rsidR="00DD4696" w:rsidRPr="004F3103" w:rsidRDefault="00DD4696" w:rsidP="00490227">
            <w:pPr>
              <w:widowControl/>
              <w:spacing w:after="0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Price in USD / ton</w:t>
            </w:r>
          </w:p>
        </w:tc>
      </w:tr>
      <w:tr w:rsidR="008E2A53" w:rsidRPr="004F3103" w14:paraId="7928C9D3" w14:textId="77777777" w:rsidTr="00490227">
        <w:trPr>
          <w:trHeight w:val="439"/>
        </w:trPr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0668" w14:textId="32729EB3" w:rsidR="008E2A53" w:rsidRPr="004F3103" w:rsidRDefault="008E2A53" w:rsidP="008E2A53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1</w:t>
            </w:r>
            <w:r w:rsidRPr="004F3103">
              <w:rPr>
                <w:b/>
                <w:bCs/>
                <w:sz w:val="24"/>
                <w:lang w:val="en-US" w:eastAsia="en-US"/>
              </w:rPr>
              <w:t>.0 Excavation, packing</w:t>
            </w:r>
            <w:r>
              <w:rPr>
                <w:b/>
                <w:bCs/>
                <w:sz w:val="24"/>
                <w:lang w:val="en-US" w:eastAsia="en-US"/>
              </w:rPr>
              <w:t xml:space="preserve"> and </w:t>
            </w:r>
            <w:r w:rsidRPr="004F3103">
              <w:rPr>
                <w:b/>
                <w:bCs/>
                <w:sz w:val="24"/>
                <w:lang w:val="en-US" w:eastAsia="en-US"/>
              </w:rPr>
              <w:t xml:space="preserve">transportation of the HCH </w:t>
            </w:r>
            <w:r>
              <w:rPr>
                <w:b/>
                <w:bCs/>
                <w:sz w:val="24"/>
                <w:lang w:val="en-US" w:eastAsia="en-US"/>
              </w:rPr>
              <w:t>contaminated concrete</w:t>
            </w:r>
            <w:r w:rsidRPr="004F3103">
              <w:rPr>
                <w:b/>
                <w:bCs/>
                <w:sz w:val="24"/>
                <w:lang w:val="en-US" w:eastAsia="en-US"/>
              </w:rPr>
              <w:t xml:space="preserve"> from the delta dump</w:t>
            </w:r>
          </w:p>
        </w:tc>
      </w:tr>
      <w:tr w:rsidR="00DD4696" w:rsidRPr="004F3103" w14:paraId="5B04B824" w14:textId="77777777" w:rsidTr="00BF029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235" w14:textId="492E91E0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lastRenderedPageBreak/>
              <w:t>1</w:t>
            </w:r>
            <w:r w:rsidRPr="004F3103">
              <w:rPr>
                <w:sz w:val="24"/>
                <w:lang w:val="en-US" w:eastAsia="en-US"/>
              </w:rPr>
              <w:t>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9D26" w14:textId="550B4D11" w:rsidR="00DD4696" w:rsidRPr="004F3103" w:rsidRDefault="00DD4696" w:rsidP="008E2A53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 xml:space="preserve">Excavation of the HCH </w:t>
            </w:r>
            <w:r>
              <w:rPr>
                <w:sz w:val="24"/>
                <w:lang w:val="en-US" w:eastAsia="en-US"/>
              </w:rPr>
              <w:t>contaminated concrete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919" w14:textId="77777777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922E" w14:textId="4AC45DE8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DD4696" w:rsidRPr="004F3103" w14:paraId="55F71548" w14:textId="77777777" w:rsidTr="0054529D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22CE" w14:textId="6CE7DDCD" w:rsidR="00DD4696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1.2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EB57" w14:textId="6A238D66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 xml:space="preserve">Packing of the HCH </w:t>
            </w:r>
            <w:r>
              <w:rPr>
                <w:sz w:val="24"/>
                <w:lang w:val="en-US" w:eastAsia="en-US"/>
              </w:rPr>
              <w:t>contaminated concrete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82C6B" w14:textId="77777777" w:rsidR="00DD4696" w:rsidRPr="005647EA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5647EA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7C38" w14:textId="6FF97CFE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DD4696" w:rsidRPr="004F3103" w14:paraId="4F231D11" w14:textId="77777777" w:rsidTr="00D8026F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5A0E" w14:textId="034F049A" w:rsidR="00DD4696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1.3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77F9" w14:textId="6EF0F2C0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 xml:space="preserve">Transportation of the HCH </w:t>
            </w:r>
            <w:r>
              <w:rPr>
                <w:sz w:val="24"/>
                <w:lang w:val="en-US" w:eastAsia="en-US"/>
              </w:rPr>
              <w:t>contaminated concrete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375D" w14:textId="77777777" w:rsidR="00DD4696" w:rsidRPr="005647EA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5647EA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A509" w14:textId="513D14AF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8E2A53" w:rsidRPr="004F3103" w14:paraId="691DB122" w14:textId="77777777" w:rsidTr="00490227">
        <w:trPr>
          <w:trHeight w:val="439"/>
        </w:trPr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E401" w14:textId="677B174F" w:rsidR="008E2A53" w:rsidRPr="004F3103" w:rsidRDefault="000409D5" w:rsidP="000409D5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2</w:t>
            </w:r>
            <w:r w:rsidR="008E2A53" w:rsidRPr="004F3103">
              <w:rPr>
                <w:b/>
                <w:bCs/>
                <w:sz w:val="24"/>
                <w:lang w:val="en-US" w:eastAsia="en-US"/>
              </w:rPr>
              <w:t>.0 Remediation</w:t>
            </w:r>
            <w:r w:rsidR="008E2A53">
              <w:rPr>
                <w:b/>
                <w:bCs/>
                <w:sz w:val="24"/>
                <w:lang w:val="en-US" w:eastAsia="en-US"/>
              </w:rPr>
              <w:t>/disposal</w:t>
            </w:r>
            <w:r w:rsidR="008E2A53" w:rsidRPr="004F3103">
              <w:rPr>
                <w:b/>
                <w:bCs/>
                <w:sz w:val="24"/>
                <w:lang w:val="en-US" w:eastAsia="en-US"/>
              </w:rPr>
              <w:t xml:space="preserve"> of the HCH contaminated </w:t>
            </w:r>
            <w:r>
              <w:rPr>
                <w:b/>
                <w:bCs/>
                <w:sz w:val="24"/>
                <w:lang w:val="en-US" w:eastAsia="en-US"/>
              </w:rPr>
              <w:t>concrete</w:t>
            </w:r>
            <w:r w:rsidR="008E2A53">
              <w:rPr>
                <w:b/>
                <w:bCs/>
                <w:sz w:val="24"/>
                <w:lang w:val="en-US" w:eastAsia="en-US"/>
              </w:rPr>
              <w:t xml:space="preserve"> HCH </w:t>
            </w:r>
            <w:r w:rsidR="008E2A53" w:rsidRPr="004F3103">
              <w:rPr>
                <w:b/>
                <w:bCs/>
                <w:sz w:val="24"/>
                <w:lang w:val="en-US" w:eastAsia="en-US"/>
              </w:rPr>
              <w:t xml:space="preserve">from the delta dump </w:t>
            </w:r>
          </w:p>
        </w:tc>
      </w:tr>
      <w:tr w:rsidR="008E2A53" w:rsidRPr="004F3103" w14:paraId="00E461BA" w14:textId="77777777" w:rsidTr="0049022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5D17" w14:textId="7815F881" w:rsidR="008E2A53" w:rsidRPr="004F3103" w:rsidRDefault="00823843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  <w:r w:rsidR="008E2A53" w:rsidRPr="004F3103">
              <w:rPr>
                <w:sz w:val="24"/>
                <w:lang w:val="en-US" w:eastAsia="en-US"/>
              </w:rPr>
              <w:t>.</w:t>
            </w:r>
            <w:r w:rsidR="008E2A53">
              <w:rPr>
                <w:sz w:val="24"/>
                <w:lang w:val="en-US" w:eastAsia="en-US"/>
              </w:rPr>
              <w:t>1</w:t>
            </w:r>
          </w:p>
        </w:tc>
        <w:tc>
          <w:tcPr>
            <w:tcW w:w="1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CF8E0" w14:textId="77777777" w:rsidR="008E2A53" w:rsidRPr="004F3103" w:rsidRDefault="008E2A53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Operational and maintenance costs</w:t>
            </w:r>
          </w:p>
        </w:tc>
      </w:tr>
      <w:tr w:rsidR="00DD4696" w:rsidRPr="004F3103" w14:paraId="32F12BD5" w14:textId="77777777" w:rsidTr="00FB4ECC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C076" w14:textId="68475499" w:rsidR="00DD4696" w:rsidRPr="004F3103" w:rsidRDefault="00DD4696" w:rsidP="00490227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2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4904" w14:textId="65198FAC" w:rsidR="00DD4696" w:rsidRPr="002F6A74" w:rsidRDefault="00DD4696" w:rsidP="002F6A74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Pre-treatment cost</w:t>
            </w:r>
            <w:r>
              <w:rPr>
                <w:sz w:val="24"/>
                <w:lang w:val="en-US" w:eastAsia="en-US"/>
              </w:rPr>
              <w:t>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F298" w14:textId="2F4F5385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098C" w14:textId="20D43548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  <w:tr w:rsidR="00DD4696" w:rsidRPr="004F3103" w14:paraId="76E1DDC9" w14:textId="77777777" w:rsidTr="005370C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5A66" w14:textId="7CEA518C" w:rsidR="00DD4696" w:rsidRPr="004F3103" w:rsidRDefault="00DD4696" w:rsidP="00490227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2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7313" w14:textId="5907A056" w:rsidR="00DD4696" w:rsidRPr="002F6A74" w:rsidRDefault="00DD4696" w:rsidP="002F6A74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Utilities costs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01A" w14:textId="17E27621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D95F" w14:textId="2373A991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DD4696" w:rsidRPr="004F3103" w14:paraId="5B0C0DE8" w14:textId="77777777" w:rsidTr="004771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64C6" w14:textId="02CEDB38" w:rsidR="00DD4696" w:rsidRPr="004F3103" w:rsidRDefault="00DD4696" w:rsidP="00490227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2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F175" w14:textId="199AF026" w:rsidR="00DD4696" w:rsidRPr="002458FB" w:rsidRDefault="00DD4696" w:rsidP="002F6A74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Consumable materials costs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1F72" w14:textId="273CEF1A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CAC7" w14:textId="4AA9AEFE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DD4696" w:rsidRPr="004F3103" w14:paraId="4DA32B2C" w14:textId="77777777" w:rsidTr="00B43C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6069" w14:textId="66E51A9B" w:rsidR="00DD4696" w:rsidRPr="004F3103" w:rsidRDefault="00DD4696" w:rsidP="00490227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2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39C3" w14:textId="6EA1A724" w:rsidR="00DD4696" w:rsidRPr="002458FB" w:rsidRDefault="00DD4696" w:rsidP="002F6A74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Spare parts costs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C91A" w14:textId="6AAB2F2C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9051" w14:textId="076D7CED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DD4696" w:rsidRPr="004F3103" w14:paraId="2966C7F1" w14:textId="77777777" w:rsidTr="00D763C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1639" w14:textId="09D9F102" w:rsidR="00DD4696" w:rsidRPr="004F3103" w:rsidRDefault="00DD4696" w:rsidP="00490227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2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8287" w14:textId="7799EF4B" w:rsidR="00DD4696" w:rsidRPr="0097287F" w:rsidRDefault="00DD4696" w:rsidP="002F6A74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Labor costs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4D9D" w14:textId="0E5E4A8C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031862"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7F42" w14:textId="0BB18855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DD4696" w:rsidRPr="004F3103" w14:paraId="07ECDB15" w14:textId="77777777" w:rsidTr="003855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2E88" w14:textId="4CDC0C74" w:rsidR="00DD4696" w:rsidRPr="004F3103" w:rsidRDefault="00DD4696" w:rsidP="00490227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2</w:t>
            </w:r>
            <w:r w:rsidRPr="004F3103">
              <w:rPr>
                <w:i/>
                <w:iCs/>
                <w:sz w:val="24"/>
                <w:lang w:val="en-US" w:eastAsia="en-US"/>
              </w:rPr>
              <w:t>.</w:t>
            </w:r>
            <w:r>
              <w:rPr>
                <w:i/>
                <w:iCs/>
                <w:sz w:val="24"/>
                <w:lang w:val="en-US" w:eastAsia="en-US"/>
              </w:rPr>
              <w:t>1</w:t>
            </w:r>
            <w:r w:rsidRPr="004F3103">
              <w:rPr>
                <w:i/>
                <w:iCs/>
                <w:sz w:val="24"/>
                <w:lang w:val="en-US" w:eastAsia="en-US"/>
              </w:rPr>
              <w:t>.6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0A46" w14:textId="77777777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Post-treatment costs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45D" w14:textId="34C7DC07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9961" w14:textId="37B7E777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DD4696" w:rsidRPr="004F3103" w14:paraId="31543C35" w14:textId="77777777" w:rsidTr="007F45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7AFD" w14:textId="339429BA" w:rsidR="00DD4696" w:rsidRDefault="00DD4696" w:rsidP="00490227">
            <w:pPr>
              <w:widowControl/>
              <w:spacing w:after="0"/>
              <w:jc w:val="right"/>
              <w:rPr>
                <w:i/>
                <w:iCs/>
                <w:sz w:val="24"/>
                <w:lang w:val="en-US" w:eastAsia="en-US"/>
              </w:rPr>
            </w:pPr>
            <w:r>
              <w:rPr>
                <w:i/>
                <w:iCs/>
                <w:sz w:val="24"/>
                <w:lang w:val="en-US" w:eastAsia="en-US"/>
              </w:rPr>
              <w:t>2.1.7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2AB9" w14:textId="54FF6D2B" w:rsidR="00DD4696" w:rsidRPr="0097287F" w:rsidRDefault="00DD4696" w:rsidP="002F6A74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Off-site disposal costs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66D" w14:textId="253786D1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3C74" w14:textId="5E3BB772" w:rsidR="00DD4696" w:rsidRPr="004F3103" w:rsidRDefault="00DD4696" w:rsidP="00490227">
            <w:pPr>
              <w:widowControl/>
              <w:spacing w:after="0"/>
              <w:rPr>
                <w:sz w:val="24"/>
                <w:lang w:val="en-US" w:eastAsia="en-US"/>
              </w:rPr>
            </w:pPr>
          </w:p>
        </w:tc>
      </w:tr>
      <w:tr w:rsidR="008E2A53" w:rsidRPr="004F3103" w14:paraId="3A2E33A0" w14:textId="77777777" w:rsidTr="00490227">
        <w:trPr>
          <w:trHeight w:val="255"/>
        </w:trPr>
        <w:tc>
          <w:tcPr>
            <w:tcW w:w="1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CE53" w14:textId="1280AE5F" w:rsidR="008E2A53" w:rsidRPr="004F3103" w:rsidRDefault="00970BC7" w:rsidP="00490227">
            <w:pPr>
              <w:widowControl/>
              <w:spacing w:after="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lang w:val="en-US" w:eastAsia="en-US"/>
              </w:rPr>
              <w:t>3.0 Revitalization/restoration plant costs</w:t>
            </w:r>
          </w:p>
        </w:tc>
      </w:tr>
      <w:tr w:rsidR="00970BC7" w:rsidRPr="004F3103" w14:paraId="492C6123" w14:textId="77777777" w:rsidTr="00B370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6409" w14:textId="6B8A3E10" w:rsidR="00970BC7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  <w:r w:rsidRPr="004F3103">
              <w:rPr>
                <w:sz w:val="24"/>
                <w:lang w:val="en-US" w:eastAsia="en-US"/>
              </w:rPr>
              <w:t>.</w:t>
            </w: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57C05" w14:textId="317BDA55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Revitalization plant costs (backfilling the treated soil and o</w:t>
            </w:r>
            <w:r>
              <w:rPr>
                <w:sz w:val="24"/>
                <w:lang w:val="en-US" w:eastAsia="en-US"/>
              </w:rPr>
              <w:t>n</w:t>
            </w:r>
            <w:r w:rsidRPr="004F3103">
              <w:rPr>
                <w:sz w:val="24"/>
                <w:lang w:val="en-US" w:eastAsia="en-US"/>
              </w:rPr>
              <w:t>-site disposal of the surplus of treated soil</w:t>
            </w:r>
            <w:r>
              <w:rPr>
                <w:sz w:val="24"/>
                <w:lang w:val="en-US" w:eastAsia="en-US"/>
              </w:rPr>
              <w:t xml:space="preserve"> in case on-site remediation</w:t>
            </w:r>
            <w:r w:rsidRPr="004F3103">
              <w:rPr>
                <w:sz w:val="24"/>
                <w:lang w:val="en-US" w:eastAsia="en-US"/>
              </w:rPr>
              <w:t xml:space="preserve">)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A1FD" w14:textId="7773C5B8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A160A" w14:textId="2F7511B1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</w:tr>
      <w:tr w:rsidR="00970BC7" w:rsidRPr="004F3103" w14:paraId="12B6A4E7" w14:textId="77777777" w:rsidTr="00B3707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E4853" w14:textId="393471DE" w:rsidR="00970BC7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3.2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9895E" w14:textId="2C011ED3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 xml:space="preserve">Revitalization plant costs (backfilling </w:t>
            </w:r>
            <w:r>
              <w:rPr>
                <w:sz w:val="24"/>
                <w:lang w:val="en-US" w:eastAsia="en-US"/>
              </w:rPr>
              <w:t>with clean, i.e. soil with contamination levels as per Table 6 from Appendix 1.a – Terms of Reference in case of off-site treatment</w:t>
            </w:r>
            <w:r w:rsidRPr="004F3103">
              <w:rPr>
                <w:sz w:val="24"/>
                <w:lang w:val="en-US" w:eastAsia="en-US"/>
              </w:rPr>
              <w:t>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7C698" w14:textId="420861F0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Lump sum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AA131" w14:textId="56A2137F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1</w:t>
            </w:r>
          </w:p>
        </w:tc>
      </w:tr>
      <w:tr w:rsidR="00970BC7" w:rsidRPr="004F3103" w14:paraId="3E01FBEF" w14:textId="77777777" w:rsidTr="00E7518D">
        <w:trPr>
          <w:trHeight w:val="255"/>
        </w:trPr>
        <w:tc>
          <w:tcPr>
            <w:tcW w:w="13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6635" w14:textId="4115B26D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4</w:t>
            </w:r>
            <w:r w:rsidRPr="004F3103">
              <w:rPr>
                <w:b/>
                <w:bCs/>
                <w:sz w:val="24"/>
                <w:lang w:val="en-US" w:eastAsia="en-US"/>
              </w:rPr>
              <w:t>.0 Other costs</w:t>
            </w:r>
          </w:p>
        </w:tc>
      </w:tr>
      <w:tr w:rsidR="00970BC7" w:rsidRPr="004F3103" w14:paraId="5AA3292B" w14:textId="77777777" w:rsidTr="007677D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311" w14:textId="6DAE3592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</w:t>
            </w:r>
            <w:r w:rsidRPr="004F3103">
              <w:rPr>
                <w:sz w:val="24"/>
                <w:lang w:val="en-US" w:eastAsia="en-US"/>
              </w:rPr>
              <w:t>.1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0A8" w14:textId="77777777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Indicate other costs not specified above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0B0" w14:textId="3B0C3ACE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  <w:r>
              <w:rPr>
                <w:sz w:val="24"/>
                <w:lang w:val="en-US" w:eastAsia="en-US"/>
              </w:rPr>
              <w:t>Ton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084" w14:textId="428DA4B7" w:rsidR="00970BC7" w:rsidRPr="004F3103" w:rsidRDefault="00970BC7" w:rsidP="00970BC7">
            <w:pPr>
              <w:widowControl/>
              <w:spacing w:after="0"/>
              <w:rPr>
                <w:sz w:val="24"/>
                <w:lang w:val="en-US" w:eastAsia="en-US"/>
              </w:rPr>
            </w:pPr>
            <w:r w:rsidRPr="004F3103">
              <w:rPr>
                <w:sz w:val="24"/>
                <w:lang w:val="en-US" w:eastAsia="en-US"/>
              </w:rPr>
              <w:t> </w:t>
            </w:r>
          </w:p>
        </w:tc>
      </w:tr>
    </w:tbl>
    <w:p w14:paraId="07C6C00B" w14:textId="77777777" w:rsidR="00DD4696" w:rsidRDefault="00DD4696" w:rsidP="000258BB">
      <w:pPr>
        <w:overflowPunct w:val="0"/>
        <w:adjustRightInd w:val="0"/>
        <w:spacing w:before="120"/>
        <w:contextualSpacing/>
        <w:jc w:val="both"/>
      </w:pPr>
    </w:p>
    <w:p w14:paraId="29EF4C8E" w14:textId="4EF4CC4F" w:rsidR="000258BB" w:rsidRPr="000532D0" w:rsidRDefault="00FA4C92" w:rsidP="00F661FC">
      <w:pPr>
        <w:overflowPunct w:val="0"/>
        <w:adjustRightInd w:val="0"/>
        <w:spacing w:before="120"/>
        <w:ind w:right="-900"/>
        <w:contextualSpacing/>
        <w:jc w:val="both"/>
        <w:rPr>
          <w:b/>
          <w:snapToGrid w:val="0"/>
          <w:szCs w:val="22"/>
          <w:lang w:val="mk-MK"/>
        </w:rPr>
      </w:pPr>
      <w:r w:rsidRPr="000532D0">
        <w:t xml:space="preserve">Note: With regard to prices of Lot 2 and 3, </w:t>
      </w:r>
      <w:r w:rsidR="00F178A7">
        <w:t>t</w:t>
      </w:r>
      <w:r w:rsidR="00F178A7" w:rsidRPr="000532D0">
        <w:t xml:space="preserve">he </w:t>
      </w:r>
      <w:r w:rsidRPr="000532D0">
        <w:t xml:space="preserve">Contractor </w:t>
      </w:r>
      <w:r w:rsidR="000258BB" w:rsidRPr="000532D0">
        <w:t xml:space="preserve">hereby declares and confirms to </w:t>
      </w:r>
      <w:r w:rsidR="000258BB" w:rsidRPr="000532D0">
        <w:rPr>
          <w:b/>
          <w:snapToGrid w:val="0"/>
          <w:szCs w:val="22"/>
          <w:lang w:val="en-GB"/>
        </w:rPr>
        <w:t>guarantee the same or similar</w:t>
      </w:r>
      <w:r w:rsidR="00F178A7">
        <w:rPr>
          <w:b/>
          <w:snapToGrid w:val="0"/>
          <w:szCs w:val="22"/>
          <w:lang w:val="en-GB"/>
        </w:rPr>
        <w:t xml:space="preserve"> (please substantiate)</w:t>
      </w:r>
      <w:r w:rsidR="000258BB" w:rsidRPr="000532D0">
        <w:rPr>
          <w:b/>
          <w:snapToGrid w:val="0"/>
          <w:szCs w:val="22"/>
          <w:lang w:val="en-GB"/>
        </w:rPr>
        <w:t xml:space="preserve"> conditions</w:t>
      </w:r>
      <w:r w:rsidR="00B01BFC">
        <w:rPr>
          <w:b/>
          <w:snapToGrid w:val="0"/>
          <w:szCs w:val="22"/>
          <w:lang w:val="en-GB"/>
        </w:rPr>
        <w:t>, including price per ton,</w:t>
      </w:r>
      <w:r w:rsidR="000258BB" w:rsidRPr="000532D0">
        <w:rPr>
          <w:b/>
          <w:snapToGrid w:val="0"/>
          <w:szCs w:val="22"/>
          <w:lang w:val="en-GB"/>
        </w:rPr>
        <w:t xml:space="preserve"> as for the contract signed with UNIDO  (Lot 1), for the work which might be contracted by UNOPS (Lot 2 and Lot 3) related to the finalization of the clean-up of the delta dump, subject to satisfactory performance and positive evaluation  as well as other considerations by UNOPS .</w:t>
      </w:r>
      <w:r w:rsidR="000258BB" w:rsidRPr="000532D0">
        <w:rPr>
          <w:b/>
          <w:snapToGrid w:val="0"/>
          <w:szCs w:val="22"/>
          <w:lang w:val="mk-MK"/>
        </w:rPr>
        <w:t xml:space="preserve"> </w:t>
      </w:r>
    </w:p>
    <w:p w14:paraId="7269FA7D" w14:textId="230C4CE9" w:rsidR="00FA4C92" w:rsidRDefault="00FA4C92" w:rsidP="0036759E">
      <w:pPr>
        <w:tabs>
          <w:tab w:val="left" w:pos="6480"/>
          <w:tab w:val="left" w:pos="7380"/>
        </w:tabs>
        <w:spacing w:after="0"/>
        <w:rPr>
          <w:b/>
          <w:snapToGrid w:val="0"/>
          <w:szCs w:val="22"/>
          <w:lang w:val="en-GB"/>
        </w:rPr>
      </w:pPr>
    </w:p>
    <w:p w14:paraId="3CD915A1" w14:textId="77777777" w:rsidR="000258BB" w:rsidRDefault="000258BB" w:rsidP="0036759E">
      <w:pPr>
        <w:tabs>
          <w:tab w:val="left" w:pos="6480"/>
          <w:tab w:val="left" w:pos="7380"/>
        </w:tabs>
        <w:spacing w:after="0"/>
        <w:rPr>
          <w:b/>
          <w:snapToGrid w:val="0"/>
          <w:szCs w:val="22"/>
          <w:lang w:val="en-GB"/>
        </w:rPr>
      </w:pPr>
    </w:p>
    <w:p w14:paraId="196733E9" w14:textId="77777777" w:rsidR="000258BB" w:rsidRDefault="000258BB" w:rsidP="000258BB">
      <w:pPr>
        <w:pStyle w:val="4Documen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Registered office or other Address of the Bidder: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Postal Address:</w:t>
      </w:r>
    </w:p>
    <w:p w14:paraId="273F2067" w14:textId="77777777" w:rsidR="000258BB" w:rsidRDefault="000258BB" w:rsidP="000258BB">
      <w:pPr>
        <w:pStyle w:val="4Document"/>
        <w:rPr>
          <w:rFonts w:ascii="Times New Roman" w:hAnsi="Times New Roman" w:cs="Times New Roman"/>
          <w:szCs w:val="20"/>
        </w:rPr>
      </w:pPr>
    </w:p>
    <w:p w14:paraId="3BCAD015" w14:textId="77777777" w:rsidR="000258BB" w:rsidRDefault="000258BB" w:rsidP="000258BB">
      <w:pPr>
        <w:pStyle w:val="4Documen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</w:t>
      </w:r>
    </w:p>
    <w:p w14:paraId="6E9D8619" w14:textId="77777777" w:rsidR="000258BB" w:rsidRDefault="000258BB" w:rsidP="000258BB">
      <w:pPr>
        <w:pStyle w:val="4Document"/>
        <w:rPr>
          <w:rFonts w:ascii="Times New Roman" w:hAnsi="Times New Roman" w:cs="Times New Roman"/>
          <w:szCs w:val="20"/>
        </w:rPr>
      </w:pPr>
    </w:p>
    <w:p w14:paraId="2C2E706F" w14:textId="77777777" w:rsidR="000258BB" w:rsidRDefault="000258BB" w:rsidP="000258BB">
      <w:pPr>
        <w:pStyle w:val="4Documen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________________________________________________________________________</w:t>
      </w:r>
    </w:p>
    <w:p w14:paraId="0C9C15D7" w14:textId="77777777" w:rsidR="000258BB" w:rsidRDefault="000258BB" w:rsidP="000258BB">
      <w:pPr>
        <w:pStyle w:val="4Document"/>
        <w:rPr>
          <w:rFonts w:ascii="Times New Roman" w:hAnsi="Times New Roman" w:cs="Times New Roman"/>
          <w:szCs w:val="20"/>
        </w:rPr>
      </w:pPr>
    </w:p>
    <w:p w14:paraId="5AFE7F78" w14:textId="77777777" w:rsidR="000258BB" w:rsidRDefault="000258BB" w:rsidP="000258BB">
      <w:pPr>
        <w:pStyle w:val="4Documen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Signature of authorized official of Bidder or person otherwise authorized to sign the proposal on behalf of the Bidder:</w:t>
      </w:r>
    </w:p>
    <w:p w14:paraId="706CF86E" w14:textId="77777777" w:rsidR="000258BB" w:rsidRDefault="000258BB" w:rsidP="000258BB">
      <w:pPr>
        <w:pStyle w:val="4Document"/>
        <w:rPr>
          <w:rFonts w:ascii="Times New Roman" w:hAnsi="Times New Roman" w:cs="Times New Roman"/>
          <w:sz w:val="16"/>
          <w:szCs w:val="16"/>
        </w:rPr>
      </w:pPr>
    </w:p>
    <w:p w14:paraId="1F838C00" w14:textId="77777777" w:rsidR="000258BB" w:rsidRDefault="000258BB" w:rsidP="000258BB">
      <w:pPr>
        <w:pStyle w:val="4Documen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Name (print): __________________</w:t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softHyphen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Signature: ___________________________</w:t>
      </w:r>
    </w:p>
    <w:p w14:paraId="149E8F2E" w14:textId="77777777" w:rsidR="000258BB" w:rsidRDefault="000258BB" w:rsidP="000258BB">
      <w:pPr>
        <w:pStyle w:val="4Docum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E78D83" w14:textId="77777777" w:rsidR="000258BB" w:rsidRDefault="000258BB" w:rsidP="000258BB">
      <w:pPr>
        <w:rPr>
          <w:sz w:val="24"/>
        </w:rPr>
      </w:pPr>
      <w:r>
        <w:rPr>
          <w:sz w:val="24"/>
        </w:rPr>
        <w:t>Title/Position: __________________</w:t>
      </w:r>
      <w:r>
        <w:rPr>
          <w:sz w:val="24"/>
        </w:rPr>
        <w:tab/>
        <w:t xml:space="preserve">           Place (City and Country): _______________</w:t>
      </w:r>
    </w:p>
    <w:p w14:paraId="4B2C9E1A" w14:textId="77777777" w:rsidR="000258BB" w:rsidRDefault="000258BB" w:rsidP="000258BB">
      <w:pPr>
        <w:rPr>
          <w:sz w:val="16"/>
          <w:szCs w:val="16"/>
        </w:rPr>
      </w:pPr>
    </w:p>
    <w:p w14:paraId="09BA182D" w14:textId="77777777" w:rsidR="000258BB" w:rsidRDefault="000258BB" w:rsidP="000258BB">
      <w:r>
        <w:rPr>
          <w:sz w:val="24"/>
        </w:rPr>
        <w:t>Date: _________________________</w:t>
      </w:r>
    </w:p>
    <w:p w14:paraId="6F1F8DFD" w14:textId="77777777" w:rsidR="000258BB" w:rsidRDefault="000258BB" w:rsidP="0036759E">
      <w:pPr>
        <w:tabs>
          <w:tab w:val="left" w:pos="6480"/>
          <w:tab w:val="left" w:pos="7380"/>
        </w:tabs>
        <w:spacing w:after="0"/>
      </w:pPr>
    </w:p>
    <w:sectPr w:rsidR="000258BB" w:rsidSect="005E49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92E9" w14:textId="77777777" w:rsidR="00B22010" w:rsidRDefault="00B22010">
      <w:pPr>
        <w:spacing w:after="0"/>
      </w:pPr>
      <w:r>
        <w:separator/>
      </w:r>
    </w:p>
  </w:endnote>
  <w:endnote w:type="continuationSeparator" w:id="0">
    <w:p w14:paraId="0CE2B0D3" w14:textId="77777777" w:rsidR="00B22010" w:rsidRDefault="00B22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8282" w14:textId="77777777" w:rsidR="00466ED0" w:rsidRDefault="00057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3651B" w14:textId="77777777" w:rsidR="00466ED0" w:rsidRDefault="00B370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E273" w14:textId="72876996" w:rsidR="00466ED0" w:rsidRPr="008722D4" w:rsidRDefault="00057751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="007B4D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07B">
      <w:rPr>
        <w:rStyle w:val="PageNumber"/>
        <w:noProof/>
      </w:rPr>
      <w:t>6</w:t>
    </w:r>
    <w:r>
      <w:rPr>
        <w:rStyle w:val="PageNumber"/>
      </w:rPr>
      <w:fldChar w:fldCharType="end"/>
    </w:r>
  </w:p>
  <w:p w14:paraId="762A55AD" w14:textId="77777777" w:rsidR="00466ED0" w:rsidRPr="008722D4" w:rsidRDefault="00B3707B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6FC3" w14:textId="77777777" w:rsidR="00B22010" w:rsidRDefault="00B22010">
      <w:pPr>
        <w:spacing w:after="0"/>
      </w:pPr>
      <w:r>
        <w:separator/>
      </w:r>
    </w:p>
  </w:footnote>
  <w:footnote w:type="continuationSeparator" w:id="0">
    <w:p w14:paraId="65A2A355" w14:textId="77777777" w:rsidR="00B22010" w:rsidRDefault="00B220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94"/>
    <w:multiLevelType w:val="hybridMultilevel"/>
    <w:tmpl w:val="E0D0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D25"/>
    <w:multiLevelType w:val="hybridMultilevel"/>
    <w:tmpl w:val="17321AF4"/>
    <w:lvl w:ilvl="0" w:tplc="7486AB4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C055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u w:val="none"/>
      </w:rPr>
    </w:lvl>
    <w:lvl w:ilvl="2" w:tplc="0809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3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362EC58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227EE"/>
    <w:multiLevelType w:val="hybridMultilevel"/>
    <w:tmpl w:val="38A80734"/>
    <w:lvl w:ilvl="0" w:tplc="202C795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BA6728"/>
    <w:multiLevelType w:val="hybridMultilevel"/>
    <w:tmpl w:val="6116EEE8"/>
    <w:lvl w:ilvl="0" w:tplc="2222FD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17C9"/>
    <w:multiLevelType w:val="hybridMultilevel"/>
    <w:tmpl w:val="AD9E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1CEF"/>
    <w:multiLevelType w:val="hybridMultilevel"/>
    <w:tmpl w:val="2DC68526"/>
    <w:lvl w:ilvl="0" w:tplc="F59CE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D0898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F0791"/>
    <w:multiLevelType w:val="multilevel"/>
    <w:tmpl w:val="055E4404"/>
    <w:lvl w:ilvl="0">
      <w:numFmt w:val="decimal"/>
      <w:pStyle w:val="Heading1"/>
      <w:lvlText w:val="%1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54"/>
        </w:tabs>
        <w:ind w:left="6954" w:hanging="576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FF"/>
    <w:rsid w:val="00006202"/>
    <w:rsid w:val="000258BB"/>
    <w:rsid w:val="00027FD2"/>
    <w:rsid w:val="000322E5"/>
    <w:rsid w:val="000409D5"/>
    <w:rsid w:val="00041DD8"/>
    <w:rsid w:val="000532D0"/>
    <w:rsid w:val="00057751"/>
    <w:rsid w:val="00097E52"/>
    <w:rsid w:val="000B2254"/>
    <w:rsid w:val="000D2C59"/>
    <w:rsid w:val="000E481B"/>
    <w:rsid w:val="000E5A86"/>
    <w:rsid w:val="000F1943"/>
    <w:rsid w:val="00165028"/>
    <w:rsid w:val="001748C7"/>
    <w:rsid w:val="00181814"/>
    <w:rsid w:val="0019268D"/>
    <w:rsid w:val="001C1B93"/>
    <w:rsid w:val="001C4077"/>
    <w:rsid w:val="001D7672"/>
    <w:rsid w:val="001E3C74"/>
    <w:rsid w:val="00204F0D"/>
    <w:rsid w:val="002202C3"/>
    <w:rsid w:val="002241B0"/>
    <w:rsid w:val="002458FB"/>
    <w:rsid w:val="00255E01"/>
    <w:rsid w:val="0027061D"/>
    <w:rsid w:val="0028191F"/>
    <w:rsid w:val="002A0AEB"/>
    <w:rsid w:val="002B2A09"/>
    <w:rsid w:val="002B672F"/>
    <w:rsid w:val="002F6A74"/>
    <w:rsid w:val="00313487"/>
    <w:rsid w:val="00335844"/>
    <w:rsid w:val="00344571"/>
    <w:rsid w:val="0036759E"/>
    <w:rsid w:val="00382E6D"/>
    <w:rsid w:val="003B24F4"/>
    <w:rsid w:val="003B4039"/>
    <w:rsid w:val="003E555B"/>
    <w:rsid w:val="003F1F09"/>
    <w:rsid w:val="004334DE"/>
    <w:rsid w:val="00447E45"/>
    <w:rsid w:val="0048197E"/>
    <w:rsid w:val="00484501"/>
    <w:rsid w:val="00491238"/>
    <w:rsid w:val="004A2C66"/>
    <w:rsid w:val="004C1B83"/>
    <w:rsid w:val="004F17D3"/>
    <w:rsid w:val="00523E45"/>
    <w:rsid w:val="005256F4"/>
    <w:rsid w:val="00536227"/>
    <w:rsid w:val="005953C6"/>
    <w:rsid w:val="005B3981"/>
    <w:rsid w:val="005B514B"/>
    <w:rsid w:val="005E2216"/>
    <w:rsid w:val="005E495B"/>
    <w:rsid w:val="0061066C"/>
    <w:rsid w:val="00650451"/>
    <w:rsid w:val="006614BA"/>
    <w:rsid w:val="00672F90"/>
    <w:rsid w:val="006B730B"/>
    <w:rsid w:val="006C6DD5"/>
    <w:rsid w:val="006E1024"/>
    <w:rsid w:val="00785073"/>
    <w:rsid w:val="007B4BE9"/>
    <w:rsid w:val="007B4DFF"/>
    <w:rsid w:val="007F2E49"/>
    <w:rsid w:val="007F46A8"/>
    <w:rsid w:val="00823843"/>
    <w:rsid w:val="00843808"/>
    <w:rsid w:val="0084425E"/>
    <w:rsid w:val="0084619A"/>
    <w:rsid w:val="00847370"/>
    <w:rsid w:val="00852BB8"/>
    <w:rsid w:val="0086691A"/>
    <w:rsid w:val="008B10F3"/>
    <w:rsid w:val="008B36C9"/>
    <w:rsid w:val="008D1F28"/>
    <w:rsid w:val="008E2A53"/>
    <w:rsid w:val="008E4731"/>
    <w:rsid w:val="00922728"/>
    <w:rsid w:val="009238CA"/>
    <w:rsid w:val="009268E3"/>
    <w:rsid w:val="00940629"/>
    <w:rsid w:val="00946A5B"/>
    <w:rsid w:val="00950682"/>
    <w:rsid w:val="00970BC7"/>
    <w:rsid w:val="0097287F"/>
    <w:rsid w:val="00980272"/>
    <w:rsid w:val="00995883"/>
    <w:rsid w:val="009E4732"/>
    <w:rsid w:val="009E5C5E"/>
    <w:rsid w:val="009F378A"/>
    <w:rsid w:val="00A32DD9"/>
    <w:rsid w:val="00A36D96"/>
    <w:rsid w:val="00A455DE"/>
    <w:rsid w:val="00A70DA0"/>
    <w:rsid w:val="00AC7E91"/>
    <w:rsid w:val="00B01BFC"/>
    <w:rsid w:val="00B20697"/>
    <w:rsid w:val="00B22010"/>
    <w:rsid w:val="00B33561"/>
    <w:rsid w:val="00B3707B"/>
    <w:rsid w:val="00B42B98"/>
    <w:rsid w:val="00BA2395"/>
    <w:rsid w:val="00BE5F35"/>
    <w:rsid w:val="00BF0298"/>
    <w:rsid w:val="00C0085E"/>
    <w:rsid w:val="00C02500"/>
    <w:rsid w:val="00C07168"/>
    <w:rsid w:val="00C14096"/>
    <w:rsid w:val="00C15F7F"/>
    <w:rsid w:val="00C171BE"/>
    <w:rsid w:val="00C55BDE"/>
    <w:rsid w:val="00C935B9"/>
    <w:rsid w:val="00CB0C4C"/>
    <w:rsid w:val="00CD3FD4"/>
    <w:rsid w:val="00CE20D1"/>
    <w:rsid w:val="00D26483"/>
    <w:rsid w:val="00D6544C"/>
    <w:rsid w:val="00D7052D"/>
    <w:rsid w:val="00D80C53"/>
    <w:rsid w:val="00D920DC"/>
    <w:rsid w:val="00DA5BD6"/>
    <w:rsid w:val="00DD4696"/>
    <w:rsid w:val="00DE11FB"/>
    <w:rsid w:val="00DF3FE1"/>
    <w:rsid w:val="00E0247C"/>
    <w:rsid w:val="00E03837"/>
    <w:rsid w:val="00E03F1A"/>
    <w:rsid w:val="00E04196"/>
    <w:rsid w:val="00E16E20"/>
    <w:rsid w:val="00E47EB7"/>
    <w:rsid w:val="00E67E6D"/>
    <w:rsid w:val="00E73160"/>
    <w:rsid w:val="00EA1A67"/>
    <w:rsid w:val="00EC752E"/>
    <w:rsid w:val="00EE1EFC"/>
    <w:rsid w:val="00F16377"/>
    <w:rsid w:val="00F178A7"/>
    <w:rsid w:val="00F60AA5"/>
    <w:rsid w:val="00F661FC"/>
    <w:rsid w:val="00FA4C92"/>
    <w:rsid w:val="00FE6B3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DA3C"/>
  <w15:docId w15:val="{1D363F65-984C-498B-BD1C-9255F4F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FF"/>
    <w:pPr>
      <w:widowControl w:val="0"/>
      <w:spacing w:after="120" w:line="240" w:lineRule="auto"/>
    </w:pPr>
    <w:rPr>
      <w:rFonts w:ascii="Times New Roman" w:eastAsia="Times New Roman" w:hAnsi="Times New Roman" w:cs="Times New Roman"/>
      <w:szCs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7B4DFF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DF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Subsección"/>
    <w:basedOn w:val="Normal"/>
    <w:next w:val="Normal"/>
    <w:link w:val="Heading3Char"/>
    <w:uiPriority w:val="9"/>
    <w:qFormat/>
    <w:rsid w:val="007B4DF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5">
    <w:name w:val="heading 5"/>
    <w:aliases w:val="Sub-sub-subaptdo"/>
    <w:basedOn w:val="Normal"/>
    <w:next w:val="Normal"/>
    <w:link w:val="Heading5Char"/>
    <w:qFormat/>
    <w:rsid w:val="007B4D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4DF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aliases w:val="ANEXO 1"/>
    <w:basedOn w:val="Normal"/>
    <w:next w:val="Normal"/>
    <w:link w:val="Heading7Char"/>
    <w:qFormat/>
    <w:rsid w:val="007B4DFF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aliases w:val="Título 8 ANEXO 2"/>
    <w:basedOn w:val="Normal"/>
    <w:next w:val="Normal"/>
    <w:link w:val="Heading8Char"/>
    <w:qFormat/>
    <w:rsid w:val="007B4DFF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B4DF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DFF"/>
    <w:rPr>
      <w:rFonts w:ascii="Times New Roman" w:eastAsia="Times New Roman" w:hAnsi="Times New Roman" w:cs="Arial"/>
      <w:b/>
      <w:bCs/>
      <w:kern w:val="32"/>
      <w:sz w:val="28"/>
      <w:szCs w:val="32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7B4DFF"/>
    <w:rPr>
      <w:rFonts w:ascii="Times New Roman" w:eastAsia="Times New Roman" w:hAnsi="Times New Roman" w:cs="Arial"/>
      <w:b/>
      <w:bCs/>
      <w:iCs/>
      <w:sz w:val="28"/>
      <w:szCs w:val="28"/>
      <w:lang w:val="de-CH" w:eastAsia="de-DE"/>
    </w:rPr>
  </w:style>
  <w:style w:type="character" w:customStyle="1" w:styleId="Heading3Char">
    <w:name w:val="Heading 3 Char"/>
    <w:aliases w:val="Subsección Char"/>
    <w:basedOn w:val="DefaultParagraphFont"/>
    <w:link w:val="Heading3"/>
    <w:uiPriority w:val="9"/>
    <w:rsid w:val="007B4DFF"/>
    <w:rPr>
      <w:rFonts w:ascii="Times New Roman" w:eastAsia="Times New Roman" w:hAnsi="Times New Roman" w:cs="Arial"/>
      <w:b/>
      <w:bCs/>
      <w:sz w:val="24"/>
      <w:szCs w:val="26"/>
      <w:lang w:val="de-CH" w:eastAsia="de-DE"/>
    </w:rPr>
  </w:style>
  <w:style w:type="character" w:customStyle="1" w:styleId="Heading5Char">
    <w:name w:val="Heading 5 Char"/>
    <w:aliases w:val="Sub-sub-subaptdo Char"/>
    <w:basedOn w:val="DefaultParagraphFont"/>
    <w:link w:val="Heading5"/>
    <w:rsid w:val="007B4DFF"/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character" w:customStyle="1" w:styleId="Heading6Char">
    <w:name w:val="Heading 6 Char"/>
    <w:basedOn w:val="DefaultParagraphFont"/>
    <w:link w:val="Heading6"/>
    <w:rsid w:val="007B4DFF"/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Heading7Char">
    <w:name w:val="Heading 7 Char"/>
    <w:aliases w:val="ANEXO 1 Char"/>
    <w:basedOn w:val="DefaultParagraphFont"/>
    <w:link w:val="Heading7"/>
    <w:rsid w:val="007B4DFF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Heading8Char">
    <w:name w:val="Heading 8 Char"/>
    <w:aliases w:val="Título 8 ANEXO 2 Char"/>
    <w:basedOn w:val="DefaultParagraphFont"/>
    <w:link w:val="Heading8"/>
    <w:rsid w:val="007B4DFF"/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character" w:customStyle="1" w:styleId="Heading9Char">
    <w:name w:val="Heading 9 Char"/>
    <w:basedOn w:val="DefaultParagraphFont"/>
    <w:link w:val="Heading9"/>
    <w:rsid w:val="007B4DFF"/>
    <w:rPr>
      <w:rFonts w:ascii="Times New Roman" w:eastAsia="Times New Roman" w:hAnsi="Times New Roman" w:cs="Arial"/>
      <w:lang w:val="de-CH" w:eastAsia="de-DE"/>
    </w:rPr>
  </w:style>
  <w:style w:type="paragraph" w:styleId="Footer">
    <w:name w:val="footer"/>
    <w:basedOn w:val="Normal"/>
    <w:link w:val="FooterChar"/>
    <w:uiPriority w:val="99"/>
    <w:rsid w:val="007B4D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DFF"/>
    <w:rPr>
      <w:rFonts w:ascii="Times New Roman" w:eastAsia="Times New Roman" w:hAnsi="Times New Roman" w:cs="Times New Roman"/>
      <w:szCs w:val="24"/>
      <w:lang w:val="de-CH" w:eastAsia="de-DE"/>
    </w:rPr>
  </w:style>
  <w:style w:type="character" w:styleId="PageNumber">
    <w:name w:val="page number"/>
    <w:basedOn w:val="DefaultParagraphFont"/>
    <w:rsid w:val="007B4DFF"/>
  </w:style>
  <w:style w:type="character" w:styleId="CommentReference">
    <w:name w:val="annotation reference"/>
    <w:rsid w:val="007B4D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DFF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Caption">
    <w:name w:val="caption"/>
    <w:basedOn w:val="Normal"/>
    <w:next w:val="Normal"/>
    <w:qFormat/>
    <w:rsid w:val="007B4DFF"/>
    <w:pPr>
      <w:widowControl/>
      <w:spacing w:after="0"/>
    </w:pPr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FF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98027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0272"/>
    <w:rPr>
      <w:rFonts w:ascii="Times New Roman" w:eastAsia="Times New Roman" w:hAnsi="Times New Roman" w:cs="Times New Roman"/>
      <w:szCs w:val="24"/>
      <w:lang w:val="de-CH" w:eastAsia="de-DE"/>
    </w:rPr>
  </w:style>
  <w:style w:type="paragraph" w:styleId="Revision">
    <w:name w:val="Revision"/>
    <w:hidden/>
    <w:uiPriority w:val="99"/>
    <w:semiHidden/>
    <w:rsid w:val="00255E01"/>
    <w:pPr>
      <w:spacing w:after="0" w:line="240" w:lineRule="auto"/>
    </w:pPr>
    <w:rPr>
      <w:rFonts w:ascii="Times New Roman" w:eastAsia="Times New Roman" w:hAnsi="Times New Roman" w:cs="Times New Roman"/>
      <w:szCs w:val="24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C92"/>
    <w:rPr>
      <w:rFonts w:ascii="Times New Roman" w:eastAsia="Times New Roman" w:hAnsi="Times New Roman" w:cs="Times New Roman"/>
      <w:b/>
      <w:bCs/>
      <w:sz w:val="20"/>
      <w:szCs w:val="20"/>
      <w:lang w:val="de-CH" w:eastAsia="de-DE"/>
    </w:rPr>
  </w:style>
  <w:style w:type="paragraph" w:customStyle="1" w:styleId="4Document">
    <w:name w:val="4Document"/>
    <w:rsid w:val="00025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FF77-F6D0-423A-930B-3A2F4A43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1447</Words>
  <Characters>7878</Characters>
  <Application>Microsoft Office Word</Application>
  <DocSecurity>0</DocSecurity>
  <Lines>393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Mickovski</dc:creator>
  <cp:keywords/>
  <dc:description/>
  <cp:lastModifiedBy>BRAVIN, Alessandra</cp:lastModifiedBy>
  <cp:revision>16</cp:revision>
  <dcterms:created xsi:type="dcterms:W3CDTF">2019-10-07T09:08:00Z</dcterms:created>
  <dcterms:modified xsi:type="dcterms:W3CDTF">2019-10-17T13:33:00Z</dcterms:modified>
</cp:coreProperties>
</file>