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D5" w:rsidRPr="003E34FE" w:rsidRDefault="002E0CD5" w:rsidP="002E0CD5">
      <w:pPr>
        <w:jc w:val="both"/>
        <w:rPr>
          <w:rFonts w:ascii="Times New Roman" w:hAnsi="Times New Roman" w:cs="Times New Roman"/>
          <w:i/>
          <w:sz w:val="24"/>
          <w:szCs w:val="24"/>
        </w:rPr>
      </w:pPr>
      <w:r w:rsidRPr="003E34FE">
        <w:rPr>
          <w:rFonts w:ascii="Times New Roman" w:hAnsi="Times New Roman" w:cs="Times New Roman"/>
          <w:i/>
          <w:sz w:val="24"/>
          <w:szCs w:val="24"/>
        </w:rPr>
        <w:t>Tableau 7. Estimation des coûts</w:t>
      </w:r>
    </w:p>
    <w:tbl>
      <w:tblPr>
        <w:tblW w:w="15182" w:type="dxa"/>
        <w:tblInd w:w="-697" w:type="dxa"/>
        <w:tblLayout w:type="fixed"/>
        <w:tblCellMar>
          <w:left w:w="0" w:type="dxa"/>
          <w:right w:w="0" w:type="dxa"/>
        </w:tblCellMar>
        <w:tblLook w:val="0000" w:firstRow="0" w:lastRow="0" w:firstColumn="0" w:lastColumn="0" w:noHBand="0" w:noVBand="0"/>
      </w:tblPr>
      <w:tblGrid>
        <w:gridCol w:w="4832"/>
        <w:gridCol w:w="1170"/>
        <w:gridCol w:w="1710"/>
        <w:gridCol w:w="1440"/>
        <w:gridCol w:w="6030"/>
      </w:tblGrid>
      <w:tr w:rsidR="002E0CD5" w:rsidRPr="003A7CFB" w:rsidTr="00073DD0">
        <w:trPr>
          <w:trHeight w:val="410"/>
        </w:trPr>
        <w:tc>
          <w:tcPr>
            <w:tcW w:w="1518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noWrap/>
            <w:tcMar>
              <w:top w:w="12" w:type="dxa"/>
              <w:left w:w="12" w:type="dxa"/>
              <w:bottom w:w="0" w:type="dxa"/>
              <w:right w:w="12" w:type="dxa"/>
            </w:tcMar>
          </w:tcPr>
          <w:p w:rsidR="002E0CD5" w:rsidRPr="00584009" w:rsidRDefault="002E0CD5" w:rsidP="00073DD0">
            <w:pPr>
              <w:rPr>
                <w:rFonts w:ascii="Times New Roman" w:hAnsi="Times New Roman" w:cs="Times New Roman"/>
                <w:b/>
                <w:sz w:val="24"/>
                <w:szCs w:val="24"/>
              </w:rPr>
            </w:pPr>
            <w:r w:rsidRPr="00584009">
              <w:rPr>
                <w:rFonts w:ascii="Times New Roman" w:hAnsi="Times New Roman" w:cs="Times New Roman"/>
                <w:b/>
                <w:sz w:val="24"/>
                <w:szCs w:val="24"/>
              </w:rPr>
              <w:t>Estimation des coûts</w:t>
            </w:r>
          </w:p>
        </w:tc>
      </w:tr>
      <w:tr w:rsidR="002E0CD5" w:rsidRPr="0053793E" w:rsidTr="00073DD0">
        <w:trPr>
          <w:trHeight w:val="658"/>
        </w:trPr>
        <w:tc>
          <w:tcPr>
            <w:tcW w:w="15182" w:type="dxa"/>
            <w:gridSpan w:val="5"/>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tbl>
            <w:tblPr>
              <w:tblW w:w="15182" w:type="dxa"/>
              <w:tblBorders>
                <w:insideV w:val="single" w:sz="4" w:space="0" w:color="auto"/>
              </w:tblBorders>
              <w:tblLayout w:type="fixed"/>
              <w:tblCellMar>
                <w:left w:w="0" w:type="dxa"/>
                <w:right w:w="0" w:type="dxa"/>
              </w:tblCellMar>
              <w:tblLook w:val="0000" w:firstRow="0" w:lastRow="0" w:firstColumn="0" w:lastColumn="0" w:noHBand="0" w:noVBand="0"/>
            </w:tblPr>
            <w:tblGrid>
              <w:gridCol w:w="4815"/>
              <w:gridCol w:w="1170"/>
              <w:gridCol w:w="1715"/>
              <w:gridCol w:w="1440"/>
              <w:gridCol w:w="6042"/>
            </w:tblGrid>
            <w:tr w:rsidR="002E0CD5" w:rsidRPr="005E7A87" w:rsidTr="00073DD0">
              <w:trPr>
                <w:trHeight w:val="518"/>
              </w:trPr>
              <w:tc>
                <w:tcPr>
                  <w:tcW w:w="4815" w:type="dxa"/>
                  <w:shd w:val="clear" w:color="auto" w:fill="D9D9D9" w:themeFill="background1" w:themeFillShade="D9"/>
                  <w:noWrap/>
                  <w:tcMar>
                    <w:top w:w="12" w:type="dxa"/>
                    <w:left w:w="12" w:type="dxa"/>
                    <w:bottom w:w="0" w:type="dxa"/>
                    <w:right w:w="12" w:type="dxa"/>
                  </w:tcMar>
                </w:tcPr>
                <w:p w:rsidR="002E0CD5" w:rsidRPr="001049A2" w:rsidRDefault="002E0CD5" w:rsidP="00073DD0"/>
              </w:tc>
              <w:tc>
                <w:tcPr>
                  <w:tcW w:w="1170" w:type="dxa"/>
                  <w:shd w:val="clear" w:color="auto" w:fill="D9D9D9" w:themeFill="background1" w:themeFillShade="D9"/>
                  <w:noWrap/>
                  <w:tcMar>
                    <w:top w:w="12" w:type="dxa"/>
                    <w:left w:w="12" w:type="dxa"/>
                    <w:bottom w:w="0" w:type="dxa"/>
                    <w:right w:w="12" w:type="dxa"/>
                  </w:tcMar>
                </w:tcPr>
                <w:p w:rsidR="002E0CD5" w:rsidRPr="00584009" w:rsidRDefault="002E0CD5" w:rsidP="00073DD0">
                  <w:pPr>
                    <w:rPr>
                      <w:rFonts w:ascii="Times New Roman" w:hAnsi="Times New Roman" w:cs="Times New Roman"/>
                      <w:b/>
                      <w:sz w:val="18"/>
                      <w:szCs w:val="18"/>
                    </w:rPr>
                  </w:pPr>
                  <w:r w:rsidRPr="00584009">
                    <w:rPr>
                      <w:rFonts w:ascii="Times New Roman" w:hAnsi="Times New Roman" w:cs="Times New Roman"/>
                      <w:b/>
                      <w:sz w:val="18"/>
                      <w:szCs w:val="18"/>
                    </w:rPr>
                    <w:t>Quantité</w:t>
                  </w:r>
                </w:p>
              </w:tc>
              <w:tc>
                <w:tcPr>
                  <w:tcW w:w="1715" w:type="dxa"/>
                  <w:shd w:val="clear" w:color="auto" w:fill="D9D9D9" w:themeFill="background1" w:themeFillShade="D9"/>
                  <w:noWrap/>
                  <w:tcMar>
                    <w:top w:w="12" w:type="dxa"/>
                    <w:left w:w="12" w:type="dxa"/>
                    <w:bottom w:w="0" w:type="dxa"/>
                    <w:right w:w="12" w:type="dxa"/>
                  </w:tcMar>
                </w:tcPr>
                <w:p w:rsidR="002E0CD5" w:rsidRPr="00584009" w:rsidRDefault="002E0CD5" w:rsidP="00073DD0">
                  <w:pPr>
                    <w:rPr>
                      <w:rFonts w:ascii="Times New Roman" w:hAnsi="Times New Roman" w:cs="Times New Roman"/>
                      <w:b/>
                      <w:sz w:val="18"/>
                      <w:szCs w:val="18"/>
                    </w:rPr>
                  </w:pPr>
                  <w:r w:rsidRPr="00584009">
                    <w:rPr>
                      <w:rFonts w:ascii="Times New Roman" w:hAnsi="Times New Roman" w:cs="Times New Roman"/>
                      <w:b/>
                      <w:sz w:val="18"/>
                      <w:szCs w:val="18"/>
                    </w:rPr>
                    <w:t>Prix par unité et prix total (USD)</w:t>
                  </w:r>
                </w:p>
              </w:tc>
              <w:tc>
                <w:tcPr>
                  <w:tcW w:w="1440" w:type="dxa"/>
                  <w:shd w:val="clear" w:color="auto" w:fill="D9D9D9" w:themeFill="background1" w:themeFillShade="D9"/>
                  <w:noWrap/>
                  <w:tcMar>
                    <w:top w:w="12" w:type="dxa"/>
                    <w:left w:w="12" w:type="dxa"/>
                    <w:bottom w:w="0" w:type="dxa"/>
                    <w:right w:w="12" w:type="dxa"/>
                  </w:tcMar>
                </w:tcPr>
                <w:p w:rsidR="002E0CD5" w:rsidRPr="00584009" w:rsidRDefault="002E0CD5" w:rsidP="00073DD0">
                  <w:pPr>
                    <w:rPr>
                      <w:rFonts w:ascii="Times New Roman" w:hAnsi="Times New Roman" w:cs="Times New Roman"/>
                      <w:b/>
                      <w:sz w:val="18"/>
                      <w:szCs w:val="18"/>
                    </w:rPr>
                  </w:pPr>
                  <w:r w:rsidRPr="00584009">
                    <w:rPr>
                      <w:rFonts w:ascii="Times New Roman" w:hAnsi="Times New Roman" w:cs="Times New Roman"/>
                      <w:b/>
                      <w:sz w:val="18"/>
                      <w:szCs w:val="18"/>
                    </w:rPr>
                    <w:t>Conforme aux caractéristiques (Oui/Non)</w:t>
                  </w:r>
                </w:p>
              </w:tc>
              <w:tc>
                <w:tcPr>
                  <w:tcW w:w="6042" w:type="dxa"/>
                  <w:shd w:val="clear" w:color="auto" w:fill="D9D9D9" w:themeFill="background1" w:themeFillShade="D9"/>
                  <w:noWrap/>
                  <w:tcMar>
                    <w:top w:w="12" w:type="dxa"/>
                    <w:left w:w="12" w:type="dxa"/>
                    <w:bottom w:w="0" w:type="dxa"/>
                    <w:right w:w="12" w:type="dxa"/>
                  </w:tcMar>
                </w:tcPr>
                <w:p w:rsidR="002E0CD5" w:rsidRPr="00584009" w:rsidRDefault="002E0CD5" w:rsidP="00073DD0">
                  <w:pPr>
                    <w:rPr>
                      <w:rFonts w:ascii="Times New Roman" w:hAnsi="Times New Roman" w:cs="Times New Roman"/>
                      <w:b/>
                      <w:sz w:val="18"/>
                      <w:szCs w:val="18"/>
                    </w:rPr>
                  </w:pPr>
                  <w:r w:rsidRPr="00584009">
                    <w:rPr>
                      <w:rFonts w:ascii="Times New Roman" w:hAnsi="Times New Roman" w:cs="Times New Roman"/>
                      <w:b/>
                      <w:sz w:val="18"/>
                      <w:szCs w:val="18"/>
                    </w:rPr>
                    <w:t>Précisions/Observations</w:t>
                  </w:r>
                </w:p>
              </w:tc>
            </w:tr>
          </w:tbl>
          <w:p w:rsidR="002E0CD5" w:rsidRDefault="002E0CD5" w:rsidP="00073DD0"/>
        </w:tc>
      </w:tr>
      <w:tr w:rsidR="002E0CD5" w:rsidRPr="0053793E" w:rsidTr="00073DD0">
        <w:trPr>
          <w:trHeight w:val="410"/>
        </w:trPr>
        <w:tc>
          <w:tcPr>
            <w:tcW w:w="1518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2" w:type="dxa"/>
              <w:left w:w="12" w:type="dxa"/>
              <w:bottom w:w="0" w:type="dxa"/>
              <w:right w:w="12" w:type="dxa"/>
            </w:tcMar>
          </w:tcPr>
          <w:p w:rsidR="002E0CD5" w:rsidRPr="00584009" w:rsidRDefault="002E0CD5" w:rsidP="00073DD0">
            <w:pPr>
              <w:rPr>
                <w:rFonts w:ascii="Times New Roman" w:hAnsi="Times New Roman" w:cs="Times New Roman"/>
                <w:b/>
                <w:sz w:val="20"/>
                <w:szCs w:val="20"/>
              </w:rPr>
            </w:pPr>
            <w:r w:rsidRPr="00584009">
              <w:rPr>
                <w:rFonts w:ascii="Times New Roman" w:hAnsi="Times New Roman" w:cs="Times New Roman"/>
                <w:b/>
                <w:sz w:val="20"/>
                <w:szCs w:val="20"/>
                <w:lang w:val="fr-LU"/>
              </w:rPr>
              <w:t>Opérations de vidange et remplissage (</w:t>
            </w:r>
            <w:proofErr w:type="spellStart"/>
            <w:r w:rsidRPr="00584009">
              <w:rPr>
                <w:rFonts w:ascii="Times New Roman" w:hAnsi="Times New Roman" w:cs="Times New Roman"/>
                <w:b/>
                <w:sz w:val="20"/>
                <w:szCs w:val="20"/>
                <w:lang w:val="fr-LU"/>
              </w:rPr>
              <w:t>retrofilling</w:t>
            </w:r>
            <w:proofErr w:type="spellEnd"/>
            <w:r w:rsidRPr="00584009">
              <w:rPr>
                <w:rFonts w:ascii="Times New Roman" w:hAnsi="Times New Roman" w:cs="Times New Roman"/>
                <w:b/>
                <w:sz w:val="20"/>
                <w:szCs w:val="20"/>
                <w:lang w:val="fr-LU"/>
              </w:rPr>
              <w:t>) sécuritaire des transformateurs :</w:t>
            </w:r>
          </w:p>
        </w:tc>
      </w:tr>
      <w:tr w:rsidR="002E0CD5" w:rsidRPr="0053793E" w:rsidTr="00073DD0">
        <w:trPr>
          <w:trHeight w:val="1486"/>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2E0CD5" w:rsidRPr="00584009" w:rsidRDefault="002E0CD5" w:rsidP="00073DD0">
            <w:pPr>
              <w:spacing w:line="240" w:lineRule="auto"/>
              <w:jc w:val="both"/>
              <w:rPr>
                <w:rFonts w:ascii="Times New Roman" w:hAnsi="Times New Roman" w:cs="Times New Roman"/>
                <w:sz w:val="20"/>
                <w:szCs w:val="20"/>
              </w:rPr>
            </w:pPr>
            <w:r w:rsidRPr="00584009">
              <w:rPr>
                <w:rFonts w:ascii="Times New Roman" w:hAnsi="Times New Roman" w:cs="Times New Roman"/>
                <w:sz w:val="20"/>
                <w:szCs w:val="20"/>
                <w:lang w:val="fr-LU"/>
              </w:rPr>
              <w:t>Unités portatives de vidange d’huile contaminée par des PCB (ou d’huile de PCB pure) des transformateurs, constituées d’une pompe de vidange d’huile équipée d’un débitmètre, de jauges, de manomètres, de tuyauteries équipées de soupapes de sécurité, d’une unité de commande électronique, certification ignifuge.</w:t>
            </w:r>
          </w:p>
        </w:tc>
        <w:tc>
          <w:tcPr>
            <w:tcW w:w="1170" w:type="dxa"/>
            <w:tcBorders>
              <w:top w:val="single" w:sz="4" w:space="0" w:color="auto"/>
              <w:left w:val="single" w:sz="4" w:space="0" w:color="auto"/>
              <w:bottom w:val="single" w:sz="4" w:space="0" w:color="auto"/>
              <w:right w:val="single" w:sz="4" w:space="0" w:color="auto"/>
            </w:tcBorders>
            <w:vAlign w:val="center"/>
          </w:tcPr>
          <w:p w:rsidR="002E0CD5" w:rsidRPr="00584009" w:rsidRDefault="002E0CD5" w:rsidP="00073DD0">
            <w:pPr>
              <w:spacing w:line="240" w:lineRule="auto"/>
              <w:jc w:val="center"/>
              <w:rPr>
                <w:rFonts w:ascii="Times New Roman" w:hAnsi="Times New Roman" w:cs="Times New Roman"/>
                <w:sz w:val="20"/>
                <w:szCs w:val="20"/>
              </w:rPr>
            </w:pPr>
            <w:r w:rsidRPr="00584009">
              <w:rPr>
                <w:rFonts w:ascii="Times New Roman" w:hAnsi="Times New Roman" w:cs="Times New Roman"/>
                <w:sz w:val="20"/>
                <w:szCs w:val="20"/>
              </w:rPr>
              <w:t>2</w:t>
            </w:r>
          </w:p>
        </w:tc>
        <w:tc>
          <w:tcPr>
            <w:tcW w:w="1710" w:type="dxa"/>
            <w:tcBorders>
              <w:top w:val="single" w:sz="4" w:space="0" w:color="auto"/>
              <w:left w:val="single" w:sz="4" w:space="0" w:color="auto"/>
              <w:bottom w:val="single" w:sz="4" w:space="0" w:color="auto"/>
              <w:right w:val="single" w:sz="4" w:space="0" w:color="auto"/>
            </w:tcBorders>
          </w:tcPr>
          <w:p w:rsidR="002E0CD5" w:rsidRPr="00584009" w:rsidRDefault="002E0CD5" w:rsidP="00073DD0">
            <w:pP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2E0CD5" w:rsidRPr="00584009" w:rsidRDefault="002E0CD5" w:rsidP="00073DD0">
            <w:pPr>
              <w:rPr>
                <w:rFonts w:ascii="Times New Roman" w:hAnsi="Times New Roman" w:cs="Times New Roman"/>
                <w:b/>
                <w:sz w:val="20"/>
                <w:szCs w:val="20"/>
              </w:rPr>
            </w:pPr>
          </w:p>
        </w:tc>
        <w:tc>
          <w:tcPr>
            <w:tcW w:w="6030" w:type="dxa"/>
            <w:tcBorders>
              <w:top w:val="single" w:sz="4" w:space="0" w:color="auto"/>
              <w:left w:val="single" w:sz="4" w:space="0" w:color="auto"/>
              <w:bottom w:val="single" w:sz="4" w:space="0" w:color="auto"/>
              <w:right w:val="single" w:sz="4" w:space="0" w:color="auto"/>
            </w:tcBorders>
          </w:tcPr>
          <w:p w:rsidR="002E0CD5" w:rsidRPr="00584009" w:rsidRDefault="002E0CD5" w:rsidP="00073DD0">
            <w:pPr>
              <w:rPr>
                <w:rFonts w:ascii="Times New Roman" w:hAnsi="Times New Roman" w:cs="Times New Roman"/>
                <w:b/>
                <w:sz w:val="20"/>
                <w:szCs w:val="20"/>
              </w:rPr>
            </w:pPr>
          </w:p>
        </w:tc>
      </w:tr>
      <w:tr w:rsidR="002E0CD5" w:rsidRPr="00584CF0" w:rsidTr="00073DD0">
        <w:trPr>
          <w:trHeight w:val="698"/>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Génératrices d’électricité portatives ayant une capacité suffisante pour soutenir le fonctionnement des systèmes de drainage et de vidange et remplissage (</w:t>
            </w:r>
            <w:proofErr w:type="spellStart"/>
            <w:r w:rsidRPr="00584009">
              <w:rPr>
                <w:rFonts w:ascii="Times New Roman" w:hAnsi="Times New Roman" w:cs="Times New Roman"/>
                <w:sz w:val="20"/>
                <w:szCs w:val="20"/>
                <w:lang w:val="fr-LU"/>
              </w:rPr>
              <w:t>retrofilling</w:t>
            </w:r>
            <w:proofErr w:type="spellEnd"/>
            <w:r w:rsidRPr="00584009">
              <w:rPr>
                <w:rFonts w:ascii="Times New Roman" w:hAnsi="Times New Roman" w:cs="Times New Roman"/>
                <w:sz w:val="20"/>
                <w:szCs w:val="20"/>
                <w:lang w:val="fr-LU"/>
              </w:rPr>
              <w:t>).</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sz w:val="20"/>
                <w:szCs w:val="20"/>
              </w:rPr>
            </w:pPr>
            <w:r w:rsidRPr="00584009">
              <w:rPr>
                <w:rFonts w:ascii="Times New Roman" w:hAnsi="Times New Roman" w:cs="Times New Roman"/>
                <w:sz w:val="20"/>
                <w:szCs w:val="20"/>
              </w:rPr>
              <w:t>2</w:t>
            </w: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r>
      <w:tr w:rsidR="002E0CD5" w:rsidRPr="00584CF0" w:rsidTr="00073DD0">
        <w:trPr>
          <w:trHeight w:val="428"/>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 xml:space="preserve">Camions pour accueillir l’équipement de vidange et de </w:t>
            </w:r>
            <w:proofErr w:type="spellStart"/>
            <w:r w:rsidRPr="00584009">
              <w:rPr>
                <w:rFonts w:ascii="Times New Roman" w:hAnsi="Times New Roman" w:cs="Times New Roman"/>
                <w:sz w:val="20"/>
                <w:szCs w:val="20"/>
                <w:lang w:val="fr-LU"/>
              </w:rPr>
              <w:t>retrofilling</w:t>
            </w:r>
            <w:proofErr w:type="spellEnd"/>
            <w:r w:rsidRPr="00584009">
              <w:rPr>
                <w:rFonts w:ascii="Times New Roman" w:hAnsi="Times New Roman" w:cs="Times New Roman"/>
                <w:sz w:val="20"/>
                <w:szCs w:val="20"/>
                <w:lang w:val="fr-LU"/>
              </w:rPr>
              <w:t xml:space="preserve"> (y compris le générateur d’électricité). </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sz w:val="20"/>
                <w:szCs w:val="20"/>
              </w:rPr>
            </w:pPr>
            <w:r w:rsidRPr="00584009">
              <w:rPr>
                <w:rFonts w:ascii="Times New Roman" w:hAnsi="Times New Roman" w:cs="Times New Roman"/>
                <w:sz w:val="20"/>
                <w:szCs w:val="20"/>
              </w:rPr>
              <w:t>2</w:t>
            </w: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r>
      <w:tr w:rsidR="002E0CD5" w:rsidRPr="00584CF0" w:rsidTr="00073DD0">
        <w:trPr>
          <w:trHeight w:val="491"/>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Fûts et palettes conformes aux normes de l’ONU pour l’emballage</w:t>
            </w:r>
            <w:bookmarkStart w:id="0" w:name="_Ref31902000"/>
            <w:r w:rsidRPr="00584009">
              <w:rPr>
                <w:rStyle w:val="FootnoteReference"/>
                <w:rFonts w:ascii="Times New Roman" w:hAnsi="Times New Roman" w:cs="Times New Roman"/>
                <w:sz w:val="20"/>
                <w:szCs w:val="20"/>
              </w:rPr>
              <w:footnoteReference w:id="1"/>
            </w:r>
            <w:bookmarkEnd w:id="0"/>
            <w:r w:rsidRPr="00584009">
              <w:rPr>
                <w:rFonts w:ascii="Times New Roman" w:hAnsi="Times New Roman" w:cs="Times New Roman"/>
                <w:sz w:val="20"/>
                <w:szCs w:val="20"/>
                <w:lang w:val="fr-LU"/>
              </w:rPr>
              <w:t xml:space="preserve"> des huiles contaminées à expédier.</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r>
      <w:tr w:rsidR="002E0CD5" w:rsidRPr="00584CF0" w:rsidTr="00073DD0">
        <w:trPr>
          <w:trHeight w:val="428"/>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Quantité d’huile diélectrique neuve conforme à la norme ISO 60296.</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r w:rsidRPr="00584009">
              <w:rPr>
                <w:rFonts w:ascii="Times New Roman" w:hAnsi="Times New Roman" w:cs="Times New Roman"/>
                <w:sz w:val="20"/>
                <w:szCs w:val="20"/>
              </w:rPr>
              <w:t>Au moins 58 tonnes</w:t>
            </w: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rPr>
            </w:pPr>
          </w:p>
        </w:tc>
      </w:tr>
      <w:tr w:rsidR="002E0CD5" w:rsidRPr="00584CF0" w:rsidTr="00073DD0">
        <w:trPr>
          <w:trHeight w:val="410"/>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Les pièces de rechange nécessaires au bon fonctionnement de l’équipement pendant deux années d’exploitation, en supposant que l’opération dure 50 jours par année, doivent être fournies (équipement de protection individuelle, tuyauterie, brides, joints d’étanchéité, robinets de sécurité, lubrifiants).</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b/>
                <w:sz w:val="20"/>
                <w:szCs w:val="20"/>
              </w:rPr>
            </w:pP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b/>
                <w:sz w:val="20"/>
                <w:szCs w:val="20"/>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b/>
                <w:sz w:val="20"/>
                <w:szCs w:val="20"/>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b/>
                <w:sz w:val="20"/>
                <w:szCs w:val="20"/>
              </w:rPr>
            </w:pPr>
          </w:p>
        </w:tc>
      </w:tr>
      <w:tr w:rsidR="002E0CD5" w:rsidRPr="00584CF0" w:rsidTr="00073DD0">
        <w:trPr>
          <w:trHeight w:val="410"/>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L’échantillonnage et l’analyse de l’huile avant et après la vidange et le remplissage (</w:t>
            </w:r>
            <w:proofErr w:type="spellStart"/>
            <w:r w:rsidRPr="00584009">
              <w:rPr>
                <w:rFonts w:ascii="Times New Roman" w:hAnsi="Times New Roman" w:cs="Times New Roman"/>
                <w:sz w:val="20"/>
                <w:szCs w:val="20"/>
                <w:lang w:val="fr-LU"/>
              </w:rPr>
              <w:t>retrofilling</w:t>
            </w:r>
            <w:proofErr w:type="spellEnd"/>
            <w:r w:rsidRPr="00584009">
              <w:rPr>
                <w:rFonts w:ascii="Times New Roman" w:hAnsi="Times New Roman" w:cs="Times New Roman"/>
                <w:sz w:val="20"/>
                <w:szCs w:val="20"/>
                <w:lang w:val="fr-LU"/>
              </w:rPr>
              <w:t xml:space="preserve">). L’huile de chaque transformateur sera échantillonnée avant l’opération de vidange. Un échantillon d’huile diélectrique de chaque transformateur rempli sera également prélevé 6 mois après l’opération de </w:t>
            </w:r>
            <w:proofErr w:type="spellStart"/>
            <w:r w:rsidRPr="00584009">
              <w:rPr>
                <w:rFonts w:ascii="Times New Roman" w:hAnsi="Times New Roman" w:cs="Times New Roman"/>
                <w:sz w:val="20"/>
                <w:szCs w:val="20"/>
                <w:lang w:val="fr-LU"/>
              </w:rPr>
              <w:t>retrofilling</w:t>
            </w:r>
            <w:proofErr w:type="spellEnd"/>
            <w:r w:rsidRPr="00584009">
              <w:rPr>
                <w:rFonts w:ascii="Times New Roman" w:hAnsi="Times New Roman" w:cs="Times New Roman"/>
                <w:sz w:val="20"/>
                <w:szCs w:val="20"/>
                <w:lang w:val="fr-LU"/>
              </w:rPr>
              <w:t>. Les échantillons seront analysés par un laboratoire certifié conformément à la méthode d’analyse EN 12766 partie 3, ou à la norme US EPA 1668 et à la norme 1668A modifiée. Les résultats des échantillons seront placés dans la base de données mentionnée aux ‘Conditions’.</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b/>
                <w:sz w:val="20"/>
                <w:szCs w:val="20"/>
              </w:rPr>
            </w:pP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b/>
                <w:sz w:val="20"/>
                <w:szCs w:val="20"/>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b/>
                <w:sz w:val="20"/>
                <w:szCs w:val="20"/>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b/>
                <w:sz w:val="20"/>
                <w:szCs w:val="20"/>
              </w:rPr>
            </w:pPr>
          </w:p>
        </w:tc>
      </w:tr>
    </w:tbl>
    <w:p w:rsidR="002E0CD5" w:rsidRDefault="002E0CD5">
      <w:r>
        <w:br w:type="page"/>
      </w:r>
    </w:p>
    <w:tbl>
      <w:tblPr>
        <w:tblW w:w="15182" w:type="dxa"/>
        <w:tblInd w:w="-697" w:type="dxa"/>
        <w:tblLayout w:type="fixed"/>
        <w:tblCellMar>
          <w:left w:w="0" w:type="dxa"/>
          <w:right w:w="0" w:type="dxa"/>
        </w:tblCellMar>
        <w:tblLook w:val="0000" w:firstRow="0" w:lastRow="0" w:firstColumn="0" w:lastColumn="0" w:noHBand="0" w:noVBand="0"/>
      </w:tblPr>
      <w:tblGrid>
        <w:gridCol w:w="4832"/>
        <w:gridCol w:w="1170"/>
        <w:gridCol w:w="1710"/>
        <w:gridCol w:w="1440"/>
        <w:gridCol w:w="6030"/>
      </w:tblGrid>
      <w:tr w:rsidR="002E0CD5" w:rsidRPr="00584CF0" w:rsidTr="00073DD0">
        <w:trPr>
          <w:trHeight w:val="410"/>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lastRenderedPageBreak/>
              <w:t>Estima</w:t>
            </w:r>
            <w:r>
              <w:rPr>
                <w:rFonts w:ascii="Times New Roman" w:hAnsi="Times New Roman" w:cs="Times New Roman"/>
                <w:sz w:val="20"/>
                <w:szCs w:val="20"/>
                <w:lang w:val="fr-LU"/>
              </w:rPr>
              <w:t>tion détaillée des coûts pour le</w:t>
            </w:r>
            <w:r w:rsidRPr="00584009">
              <w:rPr>
                <w:rFonts w:ascii="Times New Roman" w:hAnsi="Times New Roman" w:cs="Times New Roman"/>
                <w:sz w:val="20"/>
                <w:szCs w:val="20"/>
                <w:lang w:val="fr-LU"/>
              </w:rPr>
              <w:t xml:space="preserve"> programme de formation</w:t>
            </w:r>
            <w:r>
              <w:rPr>
                <w:rFonts w:ascii="Times New Roman" w:hAnsi="Times New Roman" w:cs="Times New Roman"/>
                <w:sz w:val="20"/>
                <w:szCs w:val="20"/>
                <w:lang w:val="fr-LU"/>
              </w:rPr>
              <w:t>s</w:t>
            </w:r>
            <w:r w:rsidRPr="00584009">
              <w:rPr>
                <w:rFonts w:ascii="Times New Roman" w:hAnsi="Times New Roman" w:cs="Times New Roman"/>
                <w:sz w:val="20"/>
                <w:szCs w:val="20"/>
                <w:lang w:val="fr-LU"/>
              </w:rPr>
              <w:t xml:space="preserve"> </w:t>
            </w:r>
            <w:r>
              <w:rPr>
                <w:rFonts w:ascii="Times New Roman" w:hAnsi="Times New Roman" w:cs="Times New Roman"/>
                <w:sz w:val="20"/>
                <w:szCs w:val="20"/>
                <w:lang w:val="fr-LU"/>
              </w:rPr>
              <w:t>décrit dans le Paragraphe 7.2 (vi., c.)</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Default="002E0CD5" w:rsidP="00073DD0">
            <w:pPr>
              <w:jc w:val="center"/>
              <w:rPr>
                <w:b/>
                <w:lang w:val="fr-LU"/>
              </w:rPr>
            </w:pPr>
          </w:p>
          <w:p w:rsidR="002E0CD5" w:rsidRDefault="002E0CD5" w:rsidP="00073DD0">
            <w:pPr>
              <w:jc w:val="center"/>
              <w:rPr>
                <w:b/>
                <w:lang w:val="fr-LU"/>
              </w:rPr>
            </w:pPr>
          </w:p>
          <w:p w:rsidR="002E0CD5" w:rsidRPr="00D56802" w:rsidRDefault="002E0CD5" w:rsidP="00073DD0">
            <w:pPr>
              <w:jc w:val="center"/>
              <w:rPr>
                <w:b/>
                <w:lang w:val="fr-LU"/>
              </w:rPr>
            </w:pP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center"/>
              <w:rPr>
                <w:rFonts w:ascii="Times New Roman" w:hAnsi="Times New Roman" w:cs="Times New Roman"/>
                <w:b/>
                <w:sz w:val="20"/>
                <w:szCs w:val="20"/>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DB3911" w:rsidRDefault="002E0CD5" w:rsidP="00073DD0">
            <w:pPr>
              <w:jc w:val="center"/>
              <w:rPr>
                <w:b/>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DB3911" w:rsidRDefault="002E0CD5" w:rsidP="00073DD0">
            <w:pPr>
              <w:jc w:val="center"/>
              <w:rPr>
                <w:b/>
              </w:rPr>
            </w:pPr>
          </w:p>
        </w:tc>
      </w:tr>
      <w:tr w:rsidR="002E0CD5" w:rsidRPr="00584CF0" w:rsidTr="00073DD0">
        <w:trPr>
          <w:trHeight w:val="410"/>
        </w:trPr>
        <w:tc>
          <w:tcPr>
            <w:tcW w:w="1518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2" w:type="dxa"/>
              <w:left w:w="12" w:type="dxa"/>
              <w:bottom w:w="0" w:type="dxa"/>
              <w:right w:w="12" w:type="dxa"/>
            </w:tcMar>
            <w:vAlign w:val="center"/>
          </w:tcPr>
          <w:p w:rsidR="002E0CD5" w:rsidRPr="00584009" w:rsidRDefault="002E0CD5" w:rsidP="00073DD0">
            <w:pPr>
              <w:rPr>
                <w:rFonts w:ascii="Times New Roman" w:hAnsi="Times New Roman" w:cs="Times New Roman"/>
                <w:b/>
                <w:sz w:val="20"/>
                <w:szCs w:val="20"/>
                <w:lang w:val="fr-LU"/>
              </w:rPr>
            </w:pPr>
            <w:r w:rsidRPr="00584009">
              <w:rPr>
                <w:rFonts w:ascii="Times New Roman" w:hAnsi="Times New Roman" w:cs="Times New Roman"/>
                <w:b/>
                <w:sz w:val="20"/>
                <w:szCs w:val="20"/>
                <w:lang w:val="fr-LU"/>
              </w:rPr>
              <w:t>Stockage, transport et élimination sécuritaires des PCB et des huiles et matériaux contaminés</w:t>
            </w:r>
          </w:p>
        </w:tc>
      </w:tr>
      <w:tr w:rsidR="002E0CD5" w:rsidRPr="003C1F05" w:rsidTr="00073DD0">
        <w:trPr>
          <w:trHeight w:val="410"/>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 xml:space="preserve">Coût du </w:t>
            </w:r>
            <w:proofErr w:type="spellStart"/>
            <w:r w:rsidRPr="00584009">
              <w:rPr>
                <w:rFonts w:ascii="Times New Roman" w:hAnsi="Times New Roman" w:cs="Times New Roman"/>
                <w:sz w:val="20"/>
                <w:szCs w:val="20"/>
                <w:lang w:val="fr-LU"/>
              </w:rPr>
              <w:t>frêt</w:t>
            </w:r>
            <w:proofErr w:type="spellEnd"/>
            <w:r w:rsidRPr="00584009">
              <w:rPr>
                <w:rFonts w:ascii="Times New Roman" w:hAnsi="Times New Roman" w:cs="Times New Roman"/>
                <w:sz w:val="20"/>
                <w:szCs w:val="20"/>
                <w:lang w:val="fr-LU"/>
              </w:rPr>
              <w:t xml:space="preserve"> pour le transport de l’équipement de vidange et remplissage (</w:t>
            </w:r>
            <w:proofErr w:type="spellStart"/>
            <w:r w:rsidRPr="00584009">
              <w:rPr>
                <w:rFonts w:ascii="Times New Roman" w:hAnsi="Times New Roman" w:cs="Times New Roman"/>
                <w:sz w:val="20"/>
                <w:szCs w:val="20"/>
                <w:lang w:val="fr-LU"/>
              </w:rPr>
              <w:t>retrofilling</w:t>
            </w:r>
            <w:proofErr w:type="spellEnd"/>
            <w:r w:rsidRPr="00584009">
              <w:rPr>
                <w:rFonts w:ascii="Times New Roman" w:hAnsi="Times New Roman" w:cs="Times New Roman"/>
                <w:sz w:val="20"/>
                <w:szCs w:val="20"/>
                <w:lang w:val="fr-LU"/>
              </w:rPr>
              <w:t xml:space="preserve">) et </w:t>
            </w:r>
            <w:r w:rsidRPr="00B964D4">
              <w:rPr>
                <w:rFonts w:ascii="Times New Roman" w:hAnsi="Times New Roman" w:cs="Times New Roman"/>
                <w:sz w:val="20"/>
                <w:szCs w:val="20"/>
                <w:lang w:val="fr-LU"/>
              </w:rPr>
              <w:t>de tous les matériaux associés vers le(s) site(s) du projet</w:t>
            </w:r>
            <w:r>
              <w:rPr>
                <w:rFonts w:ascii="Times New Roman" w:hAnsi="Times New Roman" w:cs="Times New Roman"/>
                <w:sz w:val="20"/>
                <w:szCs w:val="20"/>
                <w:lang w:val="fr-LU"/>
              </w:rPr>
              <w:t>.</w:t>
            </w:r>
            <w:r w:rsidRPr="00584009">
              <w:rPr>
                <w:rFonts w:ascii="Times New Roman" w:hAnsi="Times New Roman" w:cs="Times New Roman"/>
                <w:sz w:val="20"/>
                <w:szCs w:val="20"/>
                <w:lang w:val="fr-LU"/>
              </w:rPr>
              <w:t xml:space="preserve"> Tout l’équipement doit être livré et déchargé sur le(s) site(s) du projet DAP.</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DB3911" w:rsidRDefault="002E0CD5" w:rsidP="00073DD0">
            <w:pPr>
              <w:jc w:val="center"/>
              <w:rPr>
                <w:b/>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B54750" w:rsidRDefault="002E0CD5" w:rsidP="00073DD0">
            <w:pPr>
              <w:rPr>
                <w:b/>
                <w:lang w:val="fr-LU"/>
              </w:rPr>
            </w:pPr>
          </w:p>
        </w:tc>
      </w:tr>
      <w:tr w:rsidR="002E0CD5" w:rsidRPr="003C1F05" w:rsidTr="00073DD0">
        <w:trPr>
          <w:trHeight w:val="410"/>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Pr>
                <w:rFonts w:ascii="Times New Roman" w:hAnsi="Times New Roman" w:cs="Times New Roman"/>
                <w:sz w:val="20"/>
                <w:szCs w:val="20"/>
                <w:lang w:val="fr-LU"/>
              </w:rPr>
              <w:t xml:space="preserve">Coûts associés avec le transport des huiles contaminées et des transformateurs à éliminer vers les deux sites de stockage temporaire (préférablement auprès les ateliers de la E2C à Brazzaville, et à </w:t>
            </w:r>
            <w:proofErr w:type="spellStart"/>
            <w:r>
              <w:rPr>
                <w:rFonts w:ascii="Times New Roman" w:hAnsi="Times New Roman" w:cs="Times New Roman"/>
                <w:sz w:val="20"/>
                <w:szCs w:val="20"/>
                <w:lang w:val="fr-LU"/>
              </w:rPr>
              <w:t>Bouansa</w:t>
            </w:r>
            <w:proofErr w:type="spellEnd"/>
            <w:r>
              <w:rPr>
                <w:rFonts w:ascii="Times New Roman" w:hAnsi="Times New Roman" w:cs="Times New Roman"/>
                <w:sz w:val="20"/>
                <w:szCs w:val="20"/>
                <w:lang w:val="fr-LU"/>
              </w:rPr>
              <w:t xml:space="preserve">), vers un site de stockage (à déterminer) localisé à Pointe Noire, et vers </w:t>
            </w:r>
            <w:r w:rsidRPr="00B964D4">
              <w:rPr>
                <w:rFonts w:ascii="Times New Roman" w:hAnsi="Times New Roman" w:cs="Times New Roman"/>
                <w:sz w:val="20"/>
                <w:szCs w:val="20"/>
                <w:lang w:val="fr-LU"/>
              </w:rPr>
              <w:t>l’étranger</w:t>
            </w:r>
            <w:r>
              <w:rPr>
                <w:rFonts w:ascii="Times New Roman" w:hAnsi="Times New Roman" w:cs="Times New Roman"/>
                <w:sz w:val="20"/>
                <w:szCs w:val="20"/>
                <w:lang w:val="fr-LU"/>
              </w:rPr>
              <w:t xml:space="preserve"> pour élimination,</w:t>
            </w:r>
            <w:r w:rsidRPr="00B964D4">
              <w:rPr>
                <w:rFonts w:ascii="Times New Roman" w:hAnsi="Times New Roman" w:cs="Times New Roman"/>
                <w:sz w:val="20"/>
                <w:szCs w:val="20"/>
                <w:lang w:val="fr-LU"/>
              </w:rPr>
              <w:t xml:space="preserve"> y</w:t>
            </w:r>
            <w:r w:rsidRPr="00584009">
              <w:rPr>
                <w:rFonts w:ascii="Times New Roman" w:hAnsi="Times New Roman" w:cs="Times New Roman"/>
                <w:sz w:val="20"/>
                <w:szCs w:val="20"/>
                <w:lang w:val="fr-LU"/>
              </w:rPr>
              <w:t xml:space="preserve"> compris les autoris</w:t>
            </w:r>
            <w:r>
              <w:rPr>
                <w:rFonts w:ascii="Times New Roman" w:hAnsi="Times New Roman" w:cs="Times New Roman"/>
                <w:sz w:val="20"/>
                <w:szCs w:val="20"/>
                <w:lang w:val="fr-LU"/>
              </w:rPr>
              <w:t>ations à la frontière du Congo.</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DB3911" w:rsidRDefault="002E0CD5" w:rsidP="00073DD0">
            <w:pPr>
              <w:jc w:val="center"/>
              <w:rPr>
                <w:b/>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B54750" w:rsidRDefault="002E0CD5" w:rsidP="00073DD0">
            <w:pPr>
              <w:rPr>
                <w:b/>
                <w:lang w:val="fr-LU"/>
              </w:rPr>
            </w:pPr>
          </w:p>
        </w:tc>
      </w:tr>
      <w:tr w:rsidR="002E0CD5" w:rsidRPr="00B54750" w:rsidTr="00073DD0">
        <w:trPr>
          <w:trHeight w:val="410"/>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Estimation détaillée des coûts de soutien technique éventuels pour la mise en place de l’équipement, avec échéanciers.</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DB3911" w:rsidRDefault="002E0CD5" w:rsidP="00073DD0">
            <w:pPr>
              <w:jc w:val="center"/>
              <w:rPr>
                <w:b/>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B54750" w:rsidRDefault="002E0CD5" w:rsidP="00073DD0">
            <w:pPr>
              <w:rPr>
                <w:b/>
                <w:lang w:val="fr-LU"/>
              </w:rPr>
            </w:pPr>
          </w:p>
        </w:tc>
      </w:tr>
      <w:tr w:rsidR="002E0CD5" w:rsidRPr="00B54750" w:rsidTr="00073DD0">
        <w:trPr>
          <w:trHeight w:val="410"/>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Estimation détaillée des autres dépenses, y compris le dépannage, les consommables (filtres, joints d’étanchéité, etc.) et un ensemble de pièces de rechange les plus courantes pour deux ans d’exploitation.</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DB3911" w:rsidRDefault="002E0CD5" w:rsidP="00073DD0">
            <w:pPr>
              <w:jc w:val="center"/>
              <w:rPr>
                <w:b/>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B54750" w:rsidRDefault="002E0CD5" w:rsidP="00073DD0">
            <w:pPr>
              <w:rPr>
                <w:b/>
                <w:lang w:val="fr-LU"/>
              </w:rPr>
            </w:pPr>
          </w:p>
        </w:tc>
      </w:tr>
      <w:tr w:rsidR="002E0CD5" w:rsidRPr="00B54750" w:rsidTr="00073DD0">
        <w:trPr>
          <w:trHeight w:val="410"/>
        </w:trPr>
        <w:tc>
          <w:tcPr>
            <w:tcW w:w="483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2E0CD5" w:rsidRPr="00584009" w:rsidRDefault="002E0CD5" w:rsidP="00073DD0">
            <w:pPr>
              <w:jc w:val="both"/>
              <w:rPr>
                <w:rFonts w:ascii="Times New Roman" w:hAnsi="Times New Roman" w:cs="Times New Roman"/>
                <w:sz w:val="20"/>
                <w:szCs w:val="20"/>
                <w:lang w:val="fr-LU"/>
              </w:rPr>
            </w:pPr>
            <w:r w:rsidRPr="00584009">
              <w:rPr>
                <w:rFonts w:ascii="Times New Roman" w:hAnsi="Times New Roman" w:cs="Times New Roman"/>
                <w:sz w:val="20"/>
                <w:szCs w:val="20"/>
                <w:lang w:val="fr-LU"/>
              </w:rPr>
              <w:t>Estimation détaillée des coûts pour la surveillance et l’évaluation du vidange et remplissage (</w:t>
            </w:r>
            <w:proofErr w:type="spellStart"/>
            <w:r w:rsidRPr="00584009">
              <w:rPr>
                <w:rFonts w:ascii="Times New Roman" w:hAnsi="Times New Roman" w:cs="Times New Roman"/>
                <w:sz w:val="20"/>
                <w:szCs w:val="20"/>
                <w:lang w:val="fr-LU"/>
              </w:rPr>
              <w:t>retrofilling</w:t>
            </w:r>
            <w:proofErr w:type="spellEnd"/>
            <w:r w:rsidRPr="00584009">
              <w:rPr>
                <w:rFonts w:ascii="Times New Roman" w:hAnsi="Times New Roman" w:cs="Times New Roman"/>
                <w:sz w:val="20"/>
                <w:szCs w:val="20"/>
                <w:lang w:val="fr-LU"/>
              </w:rPr>
              <w:t>), c.-à-d. avant et après le test de la concentration d’huile dans les transformateurs qui ont été décontaminés par la vidange et le remplissage (</w:t>
            </w:r>
            <w:proofErr w:type="spellStart"/>
            <w:r w:rsidRPr="00584009">
              <w:rPr>
                <w:rFonts w:ascii="Times New Roman" w:hAnsi="Times New Roman" w:cs="Times New Roman"/>
                <w:sz w:val="20"/>
                <w:szCs w:val="20"/>
                <w:lang w:val="fr-LU"/>
              </w:rPr>
              <w:t>retrofilling</w:t>
            </w:r>
            <w:proofErr w:type="spellEnd"/>
            <w:r w:rsidRPr="00584009">
              <w:rPr>
                <w:rFonts w:ascii="Times New Roman" w:hAnsi="Times New Roman" w:cs="Times New Roman"/>
                <w:sz w:val="20"/>
                <w:szCs w:val="20"/>
                <w:lang w:val="fr-LU"/>
              </w:rPr>
              <w:t>).</w:t>
            </w:r>
          </w:p>
        </w:tc>
        <w:tc>
          <w:tcPr>
            <w:tcW w:w="117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71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C40DE9" w:rsidRDefault="002E0CD5" w:rsidP="00073DD0">
            <w:pPr>
              <w:jc w:val="center"/>
              <w:rPr>
                <w:b/>
              </w:rPr>
            </w:pPr>
          </w:p>
        </w:tc>
        <w:tc>
          <w:tcPr>
            <w:tcW w:w="144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DB3911" w:rsidRDefault="002E0CD5" w:rsidP="00073DD0">
            <w:pPr>
              <w:jc w:val="center"/>
              <w:rPr>
                <w:b/>
              </w:rPr>
            </w:pPr>
          </w:p>
        </w:tc>
        <w:tc>
          <w:tcPr>
            <w:tcW w:w="603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rsidR="002E0CD5" w:rsidRPr="00B54750" w:rsidRDefault="002E0CD5" w:rsidP="00073DD0">
            <w:pPr>
              <w:rPr>
                <w:b/>
                <w:lang w:val="fr-LU"/>
              </w:rPr>
            </w:pPr>
          </w:p>
        </w:tc>
      </w:tr>
      <w:tr w:rsidR="002E0CD5" w:rsidRPr="00584CF0" w:rsidTr="00073DD0">
        <w:trPr>
          <w:trHeight w:val="410"/>
        </w:trPr>
        <w:tc>
          <w:tcPr>
            <w:tcW w:w="1518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2" w:type="dxa"/>
              <w:left w:w="12" w:type="dxa"/>
              <w:bottom w:w="0" w:type="dxa"/>
              <w:right w:w="12" w:type="dxa"/>
            </w:tcMar>
            <w:vAlign w:val="center"/>
          </w:tcPr>
          <w:p w:rsidR="002E0CD5" w:rsidRPr="009365E0" w:rsidRDefault="002E0CD5" w:rsidP="00073DD0">
            <w:pPr>
              <w:rPr>
                <w:b/>
                <w:sz w:val="20"/>
                <w:szCs w:val="20"/>
                <w:lang w:val="fr-LU"/>
              </w:rPr>
            </w:pPr>
            <w:r>
              <w:rPr>
                <w:b/>
                <w:lang w:val="fr-LU"/>
              </w:rPr>
              <w:t>Autres coûts éventuels et explications</w:t>
            </w:r>
          </w:p>
        </w:tc>
      </w:tr>
      <w:tr w:rsidR="002E0CD5" w:rsidRPr="00584CF0" w:rsidTr="00073DD0">
        <w:trPr>
          <w:trHeight w:val="410"/>
        </w:trPr>
        <w:tc>
          <w:tcPr>
            <w:tcW w:w="1518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2" w:type="dxa"/>
              <w:left w:w="12" w:type="dxa"/>
              <w:bottom w:w="0" w:type="dxa"/>
              <w:right w:w="12" w:type="dxa"/>
            </w:tcMar>
            <w:vAlign w:val="center"/>
          </w:tcPr>
          <w:p w:rsidR="002E0CD5" w:rsidRDefault="002E0CD5" w:rsidP="00073DD0">
            <w:pPr>
              <w:rPr>
                <w:b/>
                <w:lang w:val="fr-LU"/>
              </w:rPr>
            </w:pPr>
          </w:p>
          <w:p w:rsidR="002E0CD5" w:rsidRDefault="002E0CD5" w:rsidP="00073DD0">
            <w:pPr>
              <w:rPr>
                <w:b/>
                <w:lang w:val="fr-LU"/>
              </w:rPr>
            </w:pPr>
          </w:p>
          <w:p w:rsidR="002E0CD5" w:rsidRDefault="002E0CD5" w:rsidP="00073DD0">
            <w:pPr>
              <w:rPr>
                <w:b/>
                <w:lang w:val="fr-LU"/>
              </w:rPr>
            </w:pPr>
          </w:p>
          <w:p w:rsidR="002E0CD5" w:rsidRDefault="002E0CD5" w:rsidP="00073DD0">
            <w:pPr>
              <w:rPr>
                <w:b/>
                <w:lang w:val="fr-LU"/>
              </w:rPr>
            </w:pPr>
          </w:p>
          <w:p w:rsidR="002E0CD5" w:rsidRDefault="002E0CD5" w:rsidP="00073DD0">
            <w:pPr>
              <w:rPr>
                <w:b/>
                <w:lang w:val="fr-LU"/>
              </w:rPr>
            </w:pPr>
          </w:p>
          <w:p w:rsidR="002E0CD5" w:rsidRDefault="002E0CD5" w:rsidP="00073DD0">
            <w:pPr>
              <w:rPr>
                <w:b/>
                <w:lang w:val="fr-LU"/>
              </w:rPr>
            </w:pPr>
          </w:p>
          <w:p w:rsidR="002E0CD5" w:rsidRDefault="002E0CD5" w:rsidP="002E0CD5">
            <w:pPr>
              <w:rPr>
                <w:b/>
                <w:lang w:val="fr-LU"/>
              </w:rPr>
            </w:pPr>
            <w:bookmarkStart w:id="1" w:name="_GoBack"/>
            <w:bookmarkEnd w:id="1"/>
          </w:p>
        </w:tc>
      </w:tr>
    </w:tbl>
    <w:p w:rsidR="002E0CD5" w:rsidRDefault="002E0CD5" w:rsidP="002E0CD5">
      <w:pPr>
        <w:rPr>
          <w:lang w:val="fr-LU"/>
        </w:rPr>
      </w:pPr>
      <w:r w:rsidRPr="00584CF0">
        <w:rPr>
          <w:rFonts w:ascii="Times New Roman" w:hAnsi="Times New Roman" w:cs="Times New Roman"/>
          <w:sz w:val="18"/>
          <w:szCs w:val="18"/>
          <w:lang w:val="fr-LU"/>
        </w:rPr>
        <w:t xml:space="preserve">Tous les prix doivent être indiqués </w:t>
      </w:r>
      <w:r w:rsidRPr="00584CF0">
        <w:rPr>
          <w:rFonts w:ascii="Times New Roman" w:hAnsi="Times New Roman" w:cs="Times New Roman"/>
          <w:b/>
          <w:sz w:val="18"/>
          <w:szCs w:val="18"/>
          <w:lang w:val="fr-LU"/>
        </w:rPr>
        <w:t>en dollars américains (USD)</w:t>
      </w:r>
      <w:r w:rsidRPr="00584CF0">
        <w:rPr>
          <w:rFonts w:ascii="Times New Roman" w:hAnsi="Times New Roman" w:cs="Times New Roman"/>
          <w:sz w:val="18"/>
          <w:szCs w:val="18"/>
          <w:lang w:val="fr-LU"/>
        </w:rPr>
        <w:t>. Sous conformité, le soumissionnaire doit indiquer si l’article ne répond pas aux spécifications ou aux autres paramètres requis dans le cahier des charges et indiquer les autres spécifications ou paramètres du soumissionnaire dans la colonne.</w:t>
      </w:r>
      <w:r w:rsidRPr="00756B2D">
        <w:rPr>
          <w:rFonts w:ascii="Times New Roman" w:hAnsi="Times New Roman" w:cs="Times New Roman"/>
          <w:sz w:val="18"/>
          <w:szCs w:val="18"/>
          <w:lang w:val="fr-LU"/>
        </w:rPr>
        <w:t xml:space="preserve"> Si les données ne sont pas disponibles ou si l’information demandée n’est pas pertinente ou applicable à la technologie proposée, le soumissionnaire doit l’indiquer et fournir une explication.</w:t>
      </w:r>
      <w:r>
        <w:rPr>
          <w:rFonts w:ascii="Times New Roman" w:hAnsi="Times New Roman" w:cs="Times New Roman"/>
          <w:sz w:val="18"/>
          <w:szCs w:val="18"/>
          <w:lang w:val="fr-LU"/>
        </w:rPr>
        <w:t xml:space="preserve"> Des pages séparées de l’Annexe 1 peuvent être ajoutées à l’offre si nécessaire.</w:t>
      </w:r>
      <w:r w:rsidRPr="00756B2D">
        <w:rPr>
          <w:rFonts w:ascii="Times New Roman" w:hAnsi="Times New Roman" w:cs="Times New Roman"/>
          <w:sz w:val="18"/>
          <w:szCs w:val="18"/>
          <w:lang w:val="fr-LU"/>
        </w:rPr>
        <w:t xml:space="preserve"> La soumission de brochures de marketing qui ne fournissent pas d’informations techniques pertinentes n’est pas encouragée.</w:t>
      </w:r>
    </w:p>
    <w:p w:rsidR="00B1746E" w:rsidRPr="002E0CD5" w:rsidRDefault="00B1746E">
      <w:pPr>
        <w:rPr>
          <w:lang w:val="fr-LU"/>
        </w:rPr>
      </w:pPr>
    </w:p>
    <w:sectPr w:rsidR="00B1746E" w:rsidRPr="002E0CD5" w:rsidSect="0063052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AF3" w:rsidRDefault="00465AF3" w:rsidP="002E0CD5">
      <w:pPr>
        <w:spacing w:after="0" w:line="240" w:lineRule="auto"/>
      </w:pPr>
      <w:r>
        <w:separator/>
      </w:r>
    </w:p>
  </w:endnote>
  <w:endnote w:type="continuationSeparator" w:id="0">
    <w:p w:rsidR="00465AF3" w:rsidRDefault="00465AF3" w:rsidP="002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AF3" w:rsidRDefault="00465AF3" w:rsidP="002E0CD5">
      <w:pPr>
        <w:spacing w:after="0" w:line="240" w:lineRule="auto"/>
      </w:pPr>
      <w:r>
        <w:separator/>
      </w:r>
    </w:p>
  </w:footnote>
  <w:footnote w:type="continuationSeparator" w:id="0">
    <w:p w:rsidR="00465AF3" w:rsidRDefault="00465AF3" w:rsidP="002E0CD5">
      <w:pPr>
        <w:spacing w:after="0" w:line="240" w:lineRule="auto"/>
      </w:pPr>
      <w:r>
        <w:continuationSeparator/>
      </w:r>
    </w:p>
  </w:footnote>
  <w:footnote w:id="1">
    <w:p w:rsidR="002E0CD5" w:rsidRPr="00CA227F" w:rsidRDefault="002E0CD5" w:rsidP="002E0CD5">
      <w:pPr>
        <w:pStyle w:val="FootnoteText"/>
        <w:rPr>
          <w:lang w:val="fr-L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D5"/>
    <w:rsid w:val="002E0CD5"/>
    <w:rsid w:val="00465AF3"/>
    <w:rsid w:val="0063052C"/>
    <w:rsid w:val="00B1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ED9D"/>
  <w15:chartTrackingRefBased/>
  <w15:docId w15:val="{57F5185F-0C65-4A45-A73A-49476B53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CD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0C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CD5"/>
    <w:rPr>
      <w:sz w:val="20"/>
      <w:szCs w:val="20"/>
      <w:lang w:val="fr-FR"/>
    </w:rPr>
  </w:style>
  <w:style w:type="character" w:styleId="FootnoteReference">
    <w:name w:val="footnote reference"/>
    <w:basedOn w:val="DefaultParagraphFont"/>
    <w:uiPriority w:val="99"/>
    <w:semiHidden/>
    <w:unhideWhenUsed/>
    <w:rsid w:val="002E0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UNIDO</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SIMBARE, Francine</dc:creator>
  <cp:keywords/>
  <dc:description/>
  <cp:lastModifiedBy>SIMBARE, Francine</cp:lastModifiedBy>
  <cp:revision>1</cp:revision>
  <dcterms:created xsi:type="dcterms:W3CDTF">2020-05-29T13:38:00Z</dcterms:created>
  <dcterms:modified xsi:type="dcterms:W3CDTF">2020-05-29T13:42:00Z</dcterms:modified>
</cp:coreProperties>
</file>