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36" w:rsidRDefault="00803C36">
      <w:pPr>
        <w:widowControl w:val="0"/>
        <w:autoSpaceDE w:val="0"/>
        <w:autoSpaceDN w:val="0"/>
        <w:adjustRightInd w:val="0"/>
        <w:spacing w:after="200" w:line="276" w:lineRule="auto"/>
        <w:rPr>
          <w:rFonts w:ascii="Calibri" w:hAnsi="Calibri" w:cs="Calibri"/>
          <w:lang w:val="en"/>
        </w:rPr>
      </w:pPr>
    </w:p>
    <w:p w:rsidR="00803C36" w:rsidRDefault="00803C36">
      <w:pPr>
        <w:autoSpaceDE w:val="0"/>
        <w:autoSpaceDN w:val="0"/>
        <w:adjustRightInd w:val="0"/>
        <w:spacing w:line="252" w:lineRule="auto"/>
        <w:jc w:val="both"/>
        <w:rPr>
          <w:rFonts w:ascii="Times New Roman" w:hAnsi="Times New Roman"/>
          <w:b/>
          <w:bCs/>
          <w:sz w:val="24"/>
          <w:szCs w:val="24"/>
          <w:lang w:val="fr-FR"/>
        </w:rPr>
      </w:pPr>
      <w:r w:rsidRPr="0017356F">
        <w:rPr>
          <w:rFonts w:ascii="Times New Roman" w:hAnsi="Times New Roman"/>
          <w:b/>
          <w:bCs/>
          <w:sz w:val="24"/>
          <w:szCs w:val="24"/>
          <w:u w:val="single"/>
          <w:lang w:val="fr-FR"/>
        </w:rPr>
        <w:t xml:space="preserve">ANNEXE </w:t>
      </w:r>
      <w:r w:rsidR="009804CF" w:rsidRPr="0017356F">
        <w:rPr>
          <w:rFonts w:ascii="Times New Roman" w:hAnsi="Times New Roman"/>
          <w:b/>
          <w:bCs/>
          <w:sz w:val="24"/>
          <w:szCs w:val="24"/>
          <w:u w:val="single"/>
          <w:lang w:val="fr-FR"/>
        </w:rPr>
        <w:t>3</w:t>
      </w:r>
      <w:r>
        <w:rPr>
          <w:rFonts w:ascii="Times New Roman" w:hAnsi="Times New Roman"/>
          <w:b/>
          <w:bCs/>
          <w:sz w:val="24"/>
          <w:szCs w:val="24"/>
          <w:lang w:val="fr-FR"/>
        </w:rPr>
        <w:t> : Bordereau de prix pour la prestation de services</w:t>
      </w:r>
    </w:p>
    <w:p w:rsidR="00803C36" w:rsidRDefault="00803C36">
      <w:pPr>
        <w:autoSpaceDE w:val="0"/>
        <w:autoSpaceDN w:val="0"/>
        <w:adjustRightInd w:val="0"/>
        <w:spacing w:line="252" w:lineRule="auto"/>
        <w:jc w:val="both"/>
        <w:rPr>
          <w:rFonts w:ascii="Times New Roman" w:hAnsi="Times New Roman"/>
          <w:lang w:val="fr-FR"/>
        </w:rPr>
      </w:pPr>
      <w:r>
        <w:rPr>
          <w:rFonts w:ascii="Times New Roman" w:hAnsi="Times New Roman"/>
          <w:lang w:val="fr-FR"/>
        </w:rPr>
        <w:t>Si nécessaire, le prestataire peut effectuer certains changements nécessaires au bordereau de prix. Le prix de la prestation est toutefois fixé par unité ou tonnes de transformateurs décontaminés et par unité ou tonnes de déchets contenant des PCB éliminés</w:t>
      </w:r>
    </w:p>
    <w:p w:rsidR="00803C36" w:rsidRDefault="00803C36">
      <w:pPr>
        <w:autoSpaceDE w:val="0"/>
        <w:autoSpaceDN w:val="0"/>
        <w:adjustRightInd w:val="0"/>
        <w:spacing w:line="252" w:lineRule="auto"/>
        <w:jc w:val="both"/>
        <w:rPr>
          <w:rFonts w:ascii="Times New Roman" w:hAnsi="Times New Roman"/>
          <w:lang w:val="fr-FR"/>
        </w:rPr>
      </w:pPr>
      <w:r>
        <w:rPr>
          <w:rFonts w:ascii="Times New Roman" w:hAnsi="Times New Roman"/>
          <w:lang w:val="fr-FR"/>
        </w:rPr>
        <w:t xml:space="preserve">Remarque : Augmenter le nombre de rangées des tableaux au besoin. Tous les tableaux doivent être remplis. Tous les prix doivent être indiqués </w:t>
      </w:r>
      <w:r>
        <w:rPr>
          <w:rFonts w:ascii="Times New Roman" w:hAnsi="Times New Roman"/>
          <w:b/>
          <w:bCs/>
          <w:lang w:val="fr-FR"/>
        </w:rPr>
        <w:t>en dollars américains</w:t>
      </w:r>
      <w:r>
        <w:rPr>
          <w:rFonts w:ascii="Times New Roman" w:hAnsi="Times New Roman"/>
          <w:lang w:val="fr-FR"/>
        </w:rPr>
        <w:t xml:space="preserve">. Les cellules concernant le prix unitaire et le coût total sont à compléter par le soumissionnaire. Sous conformité, le soumissionnaire doit indiquer si l’article ne répond pas aux spécifications ou aux autres paramètres requis dans le cahier des charges et indiquer les autres spécifications ou paramètres du soumissionnaire dans la colonne. </w:t>
      </w:r>
    </w:p>
    <w:tbl>
      <w:tblPr>
        <w:tblW w:w="0" w:type="auto"/>
        <w:tblInd w:w="108" w:type="dxa"/>
        <w:tblLayout w:type="fixed"/>
        <w:tblLook w:val="0000" w:firstRow="0" w:lastRow="0" w:firstColumn="0" w:lastColumn="0" w:noHBand="0" w:noVBand="0"/>
      </w:tblPr>
      <w:tblGrid>
        <w:gridCol w:w="1985"/>
        <w:gridCol w:w="1743"/>
        <w:gridCol w:w="1659"/>
        <w:gridCol w:w="142"/>
        <w:gridCol w:w="1275"/>
        <w:gridCol w:w="1239"/>
        <w:gridCol w:w="1313"/>
      </w:tblGrid>
      <w:tr w:rsidR="00803C36">
        <w:tblPrEx>
          <w:tblCellMar>
            <w:top w:w="0" w:type="dxa"/>
            <w:bottom w:w="0" w:type="dxa"/>
          </w:tblCellMar>
        </w:tblPrEx>
        <w:trPr>
          <w:trHeight w:val="300"/>
        </w:trPr>
        <w:tc>
          <w:tcPr>
            <w:tcW w:w="9356" w:type="dxa"/>
            <w:gridSpan w:val="7"/>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lang w:val="fr-FR"/>
              </w:rPr>
            </w:pPr>
            <w:r>
              <w:rPr>
                <w:rFonts w:ascii="Times New Roman" w:hAnsi="Times New Roman"/>
                <w:lang w:val="fr-FR"/>
              </w:rPr>
              <w:t>Tableau 7 Services de décontamination des équipements faiblement ou moyennement contaminés jusqu’à 2000 ppm (y compris tous les services liés à la technologie choisie)</w:t>
            </w:r>
          </w:p>
          <w:p w:rsidR="00803C36" w:rsidRDefault="00803C36">
            <w:pPr>
              <w:autoSpaceDE w:val="0"/>
              <w:autoSpaceDN w:val="0"/>
              <w:adjustRightInd w:val="0"/>
              <w:spacing w:line="252" w:lineRule="auto"/>
              <w:rPr>
                <w:rFonts w:ascii="Times New Roman" w:hAnsi="Times New Roman"/>
                <w:i/>
                <w:iCs/>
                <w:lang w:val="fr-FR"/>
              </w:rPr>
            </w:pPr>
          </w:p>
        </w:tc>
      </w:tr>
      <w:tr w:rsidR="00803C36">
        <w:tblPrEx>
          <w:tblCellMar>
            <w:top w:w="0" w:type="dxa"/>
            <w:bottom w:w="0" w:type="dxa"/>
          </w:tblCellMar>
        </w:tblPrEx>
        <w:trPr>
          <w:trHeight w:val="300"/>
        </w:trPr>
        <w:tc>
          <w:tcPr>
            <w:tcW w:w="9356" w:type="dxa"/>
            <w:gridSpan w:val="7"/>
            <w:tcBorders>
              <w:top w:val="nil"/>
              <w:left w:val="nil"/>
              <w:bottom w:val="single" w:sz="4" w:space="0" w:color="auto"/>
              <w:right w:val="nil"/>
            </w:tcBorders>
            <w:shd w:val="clear" w:color="auto" w:fill="F2F2F2"/>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avec huile faiblement contaminée (de 50 à 250 ppm) </w:t>
            </w:r>
          </w:p>
        </w:tc>
      </w:tr>
      <w:tr w:rsidR="00803C36">
        <w:tblPrEx>
          <w:tblCellMar>
            <w:top w:w="0" w:type="dxa"/>
            <w:bottom w:w="0" w:type="dxa"/>
          </w:tblCellMar>
        </w:tblPrEx>
        <w:trPr>
          <w:trHeight w:val="300"/>
        </w:trPr>
        <w:tc>
          <w:tcPr>
            <w:tcW w:w="1985"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743"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659"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417" w:type="dxa"/>
            <w:gridSpan w:val="2"/>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239"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1313"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85"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u w:val="single"/>
                <w:lang w:val="fr-FR"/>
              </w:rPr>
            </w:pPr>
            <w:r>
              <w:rPr>
                <w:rFonts w:ascii="Times New Roman" w:hAnsi="Times New Roman"/>
                <w:i/>
                <w:iCs/>
                <w:sz w:val="20"/>
                <w:szCs w:val="20"/>
                <w:u w:val="single"/>
                <w:lang w:val="fr-FR"/>
              </w:rPr>
              <w:t>En service</w:t>
            </w:r>
          </w:p>
        </w:tc>
        <w:tc>
          <w:tcPr>
            <w:tcW w:w="1743"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79</w:t>
            </w:r>
          </w:p>
        </w:tc>
        <w:tc>
          <w:tcPr>
            <w:tcW w:w="1801" w:type="dxa"/>
            <w:gridSpan w:val="2"/>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179.6</w:t>
            </w:r>
          </w:p>
        </w:tc>
        <w:tc>
          <w:tcPr>
            <w:tcW w:w="1275"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39.4</w:t>
            </w:r>
          </w:p>
        </w:tc>
        <w:tc>
          <w:tcPr>
            <w:tcW w:w="1239"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Bouansa</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4</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4.9</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0.7</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Bouenza</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1.2</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0.2</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Bouenza Madingou</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1.8</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0.4</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Brazzaville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19</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26.4</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6.0</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Kouilou</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2.2</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0.6</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Loudima</w:t>
            </w:r>
            <w:proofErr w:type="spellEnd"/>
            <w:r>
              <w:rPr>
                <w:rFonts w:ascii="Times New Roman" w:hAnsi="Times New Roman"/>
                <w:sz w:val="20"/>
                <w:szCs w:val="20"/>
                <w:lang w:val="fr-FR"/>
              </w:rPr>
              <w:t xml:space="preserve"> </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3.2</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0.6</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Mabombo</w:t>
            </w:r>
            <w:proofErr w:type="spellEnd"/>
            <w:r>
              <w:rPr>
                <w:rFonts w:ascii="Times New Roman" w:hAnsi="Times New Roman"/>
                <w:sz w:val="20"/>
                <w:szCs w:val="20"/>
                <w:lang w:val="fr-FR"/>
              </w:rPr>
              <w:t xml:space="preserve"> </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3.8</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0.9</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Madingou</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7</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6.4</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1.6</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Mengo</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2.2</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0.4</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Mouyondzi</w:t>
            </w:r>
            <w:proofErr w:type="spellEnd"/>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14</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88.7</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19.8</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Nkayi</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4</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5.3</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1.1</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Pointe-Noire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21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33.4</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Calibri" w:hAnsi="Calibri" w:cs="Calibri"/>
                <w:lang w:val="fr-FR"/>
              </w:rPr>
              <w:t>7.2</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u w:val="single"/>
                <w:lang w:val="fr-FR"/>
              </w:rPr>
            </w:pPr>
            <w:r>
              <w:rPr>
                <w:rFonts w:ascii="Times New Roman" w:hAnsi="Times New Roman"/>
                <w:i/>
                <w:iCs/>
                <w:sz w:val="20"/>
                <w:szCs w:val="20"/>
                <w:u w:val="single"/>
                <w:lang w:val="fr-FR"/>
              </w:rPr>
              <w:t>Hors service</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3</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2.8</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0.6</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Kouilou</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2.1</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0.4</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Owando</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0.2</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0.1</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lastRenderedPageBreak/>
              <w:t>Plateaux-Cuvette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0.5</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0.1</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 xml:space="preserve">Total </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82</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182.4</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40.0</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9356" w:type="dxa"/>
            <w:gridSpan w:val="7"/>
            <w:tcBorders>
              <w:top w:val="nil"/>
              <w:left w:val="nil"/>
              <w:bottom w:val="single" w:sz="4" w:space="0" w:color="auto"/>
              <w:right w:val="nil"/>
            </w:tcBorders>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avec huile faiblement contaminée (de 50 à 250 ppm), manque d'information sur le poids de l'huile et du transformateur </w:t>
            </w:r>
          </w:p>
        </w:tc>
      </w:tr>
      <w:tr w:rsidR="00803C36">
        <w:tblPrEx>
          <w:tblCellMar>
            <w:top w:w="0" w:type="dxa"/>
            <w:bottom w:w="0" w:type="dxa"/>
          </w:tblCellMar>
        </w:tblPrEx>
        <w:trPr>
          <w:trHeight w:val="300"/>
        </w:trPr>
        <w:tc>
          <w:tcPr>
            <w:tcW w:w="198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74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801" w:type="dxa"/>
            <w:gridSpan w:val="2"/>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27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239"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131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u w:val="single"/>
                <w:lang w:val="fr-FR"/>
              </w:rPr>
            </w:pPr>
            <w:r>
              <w:rPr>
                <w:rFonts w:ascii="Times New Roman" w:hAnsi="Times New Roman"/>
                <w:i/>
                <w:iCs/>
                <w:sz w:val="20"/>
                <w:szCs w:val="20"/>
                <w:u w:val="single"/>
                <w:lang w:val="fr-FR"/>
              </w:rPr>
              <w:t>En service</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6</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Brazzaville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3</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roofErr w:type="spellStart"/>
            <w:r>
              <w:rPr>
                <w:rFonts w:ascii="Times New Roman" w:hAnsi="Times New Roman"/>
                <w:sz w:val="20"/>
                <w:szCs w:val="20"/>
                <w:lang w:val="fr-FR"/>
              </w:rPr>
              <w:t>Nkayi</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Pointe-Noire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Total</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6</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9356" w:type="dxa"/>
            <w:gridSpan w:val="7"/>
            <w:tcBorders>
              <w:top w:val="nil"/>
              <w:left w:val="nil"/>
              <w:bottom w:val="single" w:sz="4" w:space="0" w:color="auto"/>
              <w:right w:val="nil"/>
            </w:tcBorders>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en service avec huile moyennement contaminée (de 250 à 2000 ppm) </w:t>
            </w:r>
          </w:p>
        </w:tc>
      </w:tr>
      <w:tr w:rsidR="00803C36">
        <w:tblPrEx>
          <w:tblCellMar>
            <w:top w:w="0" w:type="dxa"/>
            <w:bottom w:w="0" w:type="dxa"/>
          </w:tblCellMar>
        </w:tblPrEx>
        <w:trPr>
          <w:trHeight w:val="300"/>
        </w:trPr>
        <w:tc>
          <w:tcPr>
            <w:tcW w:w="198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74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801" w:type="dxa"/>
            <w:gridSpan w:val="2"/>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27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239"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131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8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u w:val="single"/>
                <w:lang w:val="fr-FR"/>
              </w:rPr>
            </w:pPr>
            <w:r>
              <w:rPr>
                <w:rFonts w:ascii="Times New Roman" w:hAnsi="Times New Roman"/>
                <w:i/>
                <w:iCs/>
                <w:sz w:val="20"/>
                <w:szCs w:val="20"/>
                <w:u w:val="single"/>
                <w:lang w:val="fr-FR"/>
              </w:rPr>
              <w:t>En service</w:t>
            </w:r>
          </w:p>
        </w:tc>
        <w:tc>
          <w:tcPr>
            <w:tcW w:w="174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14</w:t>
            </w:r>
          </w:p>
        </w:tc>
        <w:tc>
          <w:tcPr>
            <w:tcW w:w="1801" w:type="dxa"/>
            <w:gridSpan w:val="2"/>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19.3</w:t>
            </w:r>
          </w:p>
        </w:tc>
        <w:tc>
          <w:tcPr>
            <w:tcW w:w="127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3.8</w:t>
            </w:r>
          </w:p>
        </w:tc>
        <w:tc>
          <w:tcPr>
            <w:tcW w:w="1239"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roofErr w:type="spellStart"/>
            <w:r>
              <w:rPr>
                <w:rFonts w:ascii="Times New Roman" w:hAnsi="Times New Roman"/>
                <w:sz w:val="20"/>
                <w:szCs w:val="20"/>
                <w:lang w:val="fr-FR"/>
              </w:rPr>
              <w:t>Bouansa</w:t>
            </w:r>
            <w:proofErr w:type="spellEnd"/>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2.1</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0.5</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 xml:space="preserve">Bouenza </w:t>
            </w:r>
            <w:proofErr w:type="spellStart"/>
            <w:r>
              <w:rPr>
                <w:rFonts w:ascii="Times New Roman" w:hAnsi="Times New Roman"/>
                <w:sz w:val="20"/>
                <w:szCs w:val="20"/>
                <w:lang w:val="fr-FR"/>
              </w:rPr>
              <w:t>Nkayi</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0.7</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0.2</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Brazzaville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5</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8.5</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1.8</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Madingou</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0.8</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0.1</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Mossendjo</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0.8</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0.2</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 xml:space="preserve">NIARI </w:t>
            </w:r>
            <w:proofErr w:type="spellStart"/>
            <w:r>
              <w:rPr>
                <w:rFonts w:ascii="Times New Roman" w:hAnsi="Times New Roman"/>
                <w:sz w:val="20"/>
                <w:szCs w:val="20"/>
                <w:lang w:val="fr-FR"/>
              </w:rPr>
              <w:t>Dolisie</w:t>
            </w:r>
            <w:proofErr w:type="spellEnd"/>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0.9</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0.2</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Pointe-Noire</w:t>
            </w: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4</w:t>
            </w: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5.5</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0.8</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Total</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14</w:t>
            </w:r>
          </w:p>
        </w:tc>
        <w:tc>
          <w:tcPr>
            <w:tcW w:w="1801" w:type="dxa"/>
            <w:gridSpan w:val="2"/>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19.3</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3.8</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801" w:type="dxa"/>
            <w:gridSpan w:val="2"/>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bl>
    <w:p w:rsidR="0017356F" w:rsidRDefault="0017356F">
      <w:r>
        <w:br w:type="page"/>
      </w:r>
    </w:p>
    <w:tbl>
      <w:tblPr>
        <w:tblW w:w="0" w:type="auto"/>
        <w:tblInd w:w="108" w:type="dxa"/>
        <w:tblLayout w:type="fixed"/>
        <w:tblLook w:val="0000" w:firstRow="0" w:lastRow="0" w:firstColumn="0" w:lastColumn="0" w:noHBand="0" w:noVBand="0"/>
      </w:tblPr>
      <w:tblGrid>
        <w:gridCol w:w="1985"/>
        <w:gridCol w:w="1743"/>
        <w:gridCol w:w="1801"/>
        <w:gridCol w:w="1275"/>
        <w:gridCol w:w="1239"/>
        <w:gridCol w:w="1313"/>
      </w:tblGrid>
      <w:tr w:rsidR="00803C36">
        <w:tblPrEx>
          <w:tblCellMar>
            <w:top w:w="0" w:type="dxa"/>
            <w:bottom w:w="0" w:type="dxa"/>
          </w:tblCellMar>
        </w:tblPrEx>
        <w:trPr>
          <w:trHeight w:val="315"/>
        </w:trPr>
        <w:tc>
          <w:tcPr>
            <w:tcW w:w="9356" w:type="dxa"/>
            <w:gridSpan w:val="6"/>
            <w:tcBorders>
              <w:top w:val="nil"/>
              <w:left w:val="nil"/>
              <w:bottom w:val="single" w:sz="4" w:space="0" w:color="auto"/>
              <w:right w:val="nil"/>
            </w:tcBorders>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lastRenderedPageBreak/>
              <w:t xml:space="preserve">Transformateurs en service avec huile moyennement contaminée (de 250 à 2000 ppm), manque d'information sur le poids de l'huile et du transformateur </w:t>
            </w:r>
          </w:p>
        </w:tc>
      </w:tr>
      <w:tr w:rsidR="00803C36">
        <w:tblPrEx>
          <w:tblCellMar>
            <w:top w:w="0" w:type="dxa"/>
            <w:bottom w:w="0" w:type="dxa"/>
          </w:tblCellMar>
        </w:tblPrEx>
        <w:trPr>
          <w:trHeight w:val="300"/>
        </w:trPr>
        <w:tc>
          <w:tcPr>
            <w:tcW w:w="198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 </w:t>
            </w:r>
          </w:p>
        </w:tc>
        <w:tc>
          <w:tcPr>
            <w:tcW w:w="174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801"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275"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239"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1313"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8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u w:val="single"/>
                <w:lang w:val="fr-FR"/>
              </w:rPr>
            </w:pPr>
            <w:r>
              <w:rPr>
                <w:rFonts w:ascii="Times New Roman" w:hAnsi="Times New Roman"/>
                <w:i/>
                <w:iCs/>
                <w:sz w:val="20"/>
                <w:szCs w:val="20"/>
                <w:u w:val="single"/>
                <w:lang w:val="fr-FR"/>
              </w:rPr>
              <w:t>En service</w:t>
            </w:r>
          </w:p>
        </w:tc>
        <w:tc>
          <w:tcPr>
            <w:tcW w:w="174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w:t>
            </w:r>
          </w:p>
        </w:tc>
        <w:tc>
          <w:tcPr>
            <w:tcW w:w="1801"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7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w:t>
            </w:r>
          </w:p>
        </w:tc>
        <w:tc>
          <w:tcPr>
            <w:tcW w:w="1239"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131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8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roofErr w:type="spellStart"/>
            <w:r>
              <w:rPr>
                <w:rFonts w:ascii="Times New Roman" w:hAnsi="Times New Roman"/>
                <w:sz w:val="20"/>
                <w:szCs w:val="20"/>
                <w:lang w:val="fr-FR"/>
              </w:rPr>
              <w:t>Mouyondzi</w:t>
            </w:r>
            <w:proofErr w:type="spellEnd"/>
          </w:p>
        </w:tc>
        <w:tc>
          <w:tcPr>
            <w:tcW w:w="174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75"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3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Nkayi</w:t>
            </w:r>
            <w:proofErr w:type="spellEnd"/>
          </w:p>
        </w:tc>
        <w:tc>
          <w:tcPr>
            <w:tcW w:w="1743"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801"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75"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w:t>
            </w:r>
          </w:p>
        </w:tc>
        <w:tc>
          <w:tcPr>
            <w:tcW w:w="1239"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8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74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801"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275"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239"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1313"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900"/>
        </w:trPr>
        <w:tc>
          <w:tcPr>
            <w:tcW w:w="198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lang w:val="fr-FR"/>
              </w:rPr>
            </w:pPr>
            <w:r>
              <w:rPr>
                <w:rFonts w:ascii="Times New Roman" w:hAnsi="Times New Roman"/>
                <w:lang w:val="fr-FR"/>
              </w:rPr>
              <w:t>Total général des transformateurs à décontaminer</w:t>
            </w:r>
          </w:p>
        </w:tc>
        <w:tc>
          <w:tcPr>
            <w:tcW w:w="174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104</w:t>
            </w:r>
          </w:p>
        </w:tc>
        <w:tc>
          <w:tcPr>
            <w:tcW w:w="1801"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201.7+</w:t>
            </w:r>
          </w:p>
        </w:tc>
        <w:tc>
          <w:tcPr>
            <w:tcW w:w="1275"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43.8+</w:t>
            </w:r>
          </w:p>
        </w:tc>
        <w:tc>
          <w:tcPr>
            <w:tcW w:w="123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lang w:val="fr-FR"/>
              </w:rPr>
            </w:pPr>
          </w:p>
        </w:tc>
        <w:tc>
          <w:tcPr>
            <w:tcW w:w="1313"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lang w:val="fr-FR"/>
              </w:rPr>
            </w:pPr>
          </w:p>
        </w:tc>
      </w:tr>
    </w:tbl>
    <w:p w:rsidR="00803C36" w:rsidRDefault="00803C36">
      <w:pPr>
        <w:autoSpaceDE w:val="0"/>
        <w:autoSpaceDN w:val="0"/>
        <w:adjustRightInd w:val="0"/>
        <w:spacing w:line="252" w:lineRule="auto"/>
        <w:rPr>
          <w:rFonts w:ascii="Times New Roman" w:hAnsi="Times New Roman"/>
          <w:lang w:val="fr-FR"/>
        </w:rPr>
      </w:pPr>
    </w:p>
    <w:tbl>
      <w:tblPr>
        <w:tblW w:w="0" w:type="auto"/>
        <w:tblInd w:w="108" w:type="dxa"/>
        <w:tblLayout w:type="fixed"/>
        <w:tblLook w:val="0000" w:firstRow="0" w:lastRow="0" w:firstColumn="0" w:lastColumn="0" w:noHBand="0" w:noVBand="0"/>
      </w:tblPr>
      <w:tblGrid>
        <w:gridCol w:w="1919"/>
        <w:gridCol w:w="1817"/>
        <w:gridCol w:w="1741"/>
        <w:gridCol w:w="1457"/>
        <w:gridCol w:w="1150"/>
        <w:gridCol w:w="988"/>
      </w:tblGrid>
      <w:tr w:rsidR="00803C36">
        <w:tblPrEx>
          <w:tblCellMar>
            <w:top w:w="0" w:type="dxa"/>
            <w:bottom w:w="0" w:type="dxa"/>
          </w:tblCellMar>
        </w:tblPrEx>
        <w:trPr>
          <w:trHeight w:val="300"/>
        </w:trPr>
        <w:tc>
          <w:tcPr>
            <w:tcW w:w="9072" w:type="dxa"/>
            <w:gridSpan w:val="6"/>
            <w:tcBorders>
              <w:top w:val="nil"/>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lang w:val="fr-FR"/>
              </w:rPr>
            </w:pPr>
            <w:r>
              <w:rPr>
                <w:rFonts w:ascii="Times New Roman" w:hAnsi="Times New Roman"/>
                <w:lang w:val="fr-FR"/>
              </w:rPr>
              <w:t>Tableau 8 Services d’emballage, de transport et de destruction des déchets (transformateurs et huile contaminés) contenant des PCB au-delà de 2000 ppm (y compris tous les services liés à la technologie choisie)</w:t>
            </w:r>
          </w:p>
          <w:p w:rsidR="00803C36" w:rsidRDefault="00803C36">
            <w:pPr>
              <w:autoSpaceDE w:val="0"/>
              <w:autoSpaceDN w:val="0"/>
              <w:adjustRightInd w:val="0"/>
              <w:spacing w:line="252" w:lineRule="auto"/>
              <w:rPr>
                <w:rFonts w:ascii="Times New Roman" w:hAnsi="Times New Roman"/>
                <w:i/>
                <w:iCs/>
                <w:lang w:val="fr-FR"/>
              </w:rPr>
            </w:pPr>
          </w:p>
        </w:tc>
      </w:tr>
      <w:tr w:rsidR="00803C36">
        <w:tblPrEx>
          <w:tblCellMar>
            <w:top w:w="0" w:type="dxa"/>
            <w:bottom w:w="0" w:type="dxa"/>
          </w:tblCellMar>
        </w:tblPrEx>
        <w:trPr>
          <w:trHeight w:val="300"/>
        </w:trPr>
        <w:tc>
          <w:tcPr>
            <w:tcW w:w="9072" w:type="dxa"/>
            <w:gridSpan w:val="6"/>
            <w:tcBorders>
              <w:top w:val="nil"/>
              <w:left w:val="nil"/>
              <w:bottom w:val="single" w:sz="4" w:space="0" w:color="auto"/>
              <w:right w:val="nil"/>
            </w:tcBorders>
            <w:shd w:val="clear" w:color="auto" w:fill="F2F2F2"/>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avec huile hautement contaminée (supérieur à 2000 ppm) </w:t>
            </w:r>
          </w:p>
        </w:tc>
      </w:tr>
      <w:tr w:rsidR="00803C36">
        <w:tblPrEx>
          <w:tblCellMar>
            <w:top w:w="0" w:type="dxa"/>
            <w:bottom w:w="0" w:type="dxa"/>
          </w:tblCellMar>
        </w:tblPrEx>
        <w:trPr>
          <w:trHeight w:val="300"/>
        </w:trPr>
        <w:tc>
          <w:tcPr>
            <w:tcW w:w="1919"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817"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741"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457"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150"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988" w:type="dxa"/>
            <w:tcBorders>
              <w:top w:val="single" w:sz="4" w:space="0" w:color="auto"/>
              <w:left w:val="nil"/>
              <w:bottom w:val="single" w:sz="4" w:space="0" w:color="auto"/>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19"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r>
              <w:rPr>
                <w:rFonts w:ascii="Times New Roman" w:hAnsi="Times New Roman"/>
                <w:i/>
                <w:iCs/>
                <w:sz w:val="20"/>
                <w:szCs w:val="20"/>
                <w:lang w:val="fr-FR"/>
              </w:rPr>
              <w:t>En service</w:t>
            </w:r>
          </w:p>
        </w:tc>
        <w:tc>
          <w:tcPr>
            <w:tcW w:w="1817"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4</w:t>
            </w:r>
          </w:p>
        </w:tc>
        <w:tc>
          <w:tcPr>
            <w:tcW w:w="1741"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sz w:val="20"/>
                <w:szCs w:val="20"/>
                <w:lang w:val="fr-FR"/>
              </w:rPr>
              <w:t>5.6</w:t>
            </w:r>
          </w:p>
        </w:tc>
        <w:tc>
          <w:tcPr>
            <w:tcW w:w="1457"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sz w:val="20"/>
                <w:szCs w:val="20"/>
                <w:lang w:val="fr-FR"/>
              </w:rPr>
              <w:t>1.3</w:t>
            </w:r>
          </w:p>
        </w:tc>
        <w:tc>
          <w:tcPr>
            <w:tcW w:w="1150"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c>
          <w:tcPr>
            <w:tcW w:w="988" w:type="dxa"/>
            <w:tcBorders>
              <w:top w:val="single" w:sz="4" w:space="0" w:color="auto"/>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Brazzaville</w:t>
            </w:r>
          </w:p>
        </w:tc>
        <w:tc>
          <w:tcPr>
            <w:tcW w:w="181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1</w:t>
            </w:r>
          </w:p>
        </w:tc>
        <w:tc>
          <w:tcPr>
            <w:tcW w:w="1741"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1.3</w:t>
            </w:r>
          </w:p>
        </w:tc>
        <w:tc>
          <w:tcPr>
            <w:tcW w:w="145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0.3</w:t>
            </w:r>
          </w:p>
        </w:tc>
        <w:tc>
          <w:tcPr>
            <w:tcW w:w="1150"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p>
        </w:tc>
        <w:tc>
          <w:tcPr>
            <w:tcW w:w="988"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roofErr w:type="spellStart"/>
            <w:r>
              <w:rPr>
                <w:rFonts w:ascii="Times New Roman" w:hAnsi="Times New Roman"/>
                <w:sz w:val="20"/>
                <w:szCs w:val="20"/>
                <w:lang w:val="fr-FR"/>
              </w:rPr>
              <w:t>Mouyondzi</w:t>
            </w:r>
            <w:proofErr w:type="spellEnd"/>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1</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1.4</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0.3</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roofErr w:type="spellStart"/>
            <w:r>
              <w:rPr>
                <w:rFonts w:ascii="Times New Roman" w:hAnsi="Times New Roman"/>
                <w:sz w:val="20"/>
                <w:szCs w:val="20"/>
                <w:lang w:val="fr-FR"/>
              </w:rPr>
              <w:t>Nkayi</w:t>
            </w:r>
            <w:proofErr w:type="spellEnd"/>
          </w:p>
        </w:tc>
        <w:tc>
          <w:tcPr>
            <w:tcW w:w="181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2</w:t>
            </w:r>
          </w:p>
        </w:tc>
        <w:tc>
          <w:tcPr>
            <w:tcW w:w="1741"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2.9</w:t>
            </w:r>
          </w:p>
        </w:tc>
        <w:tc>
          <w:tcPr>
            <w:tcW w:w="145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sz w:val="20"/>
                <w:szCs w:val="20"/>
                <w:lang w:val="fr-FR"/>
              </w:rPr>
              <w:t>0.7</w:t>
            </w:r>
          </w:p>
        </w:tc>
        <w:tc>
          <w:tcPr>
            <w:tcW w:w="1150"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p>
        </w:tc>
        <w:tc>
          <w:tcPr>
            <w:tcW w:w="988"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Total</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4</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sz w:val="20"/>
                <w:szCs w:val="20"/>
                <w:lang w:val="fr-FR"/>
              </w:rPr>
              <w:t>5.6</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sz w:val="20"/>
                <w:szCs w:val="20"/>
                <w:lang w:val="fr-FR"/>
              </w:rPr>
              <w:t>1.3</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r>
      <w:tr w:rsidR="00803C36">
        <w:tblPrEx>
          <w:tblCellMar>
            <w:top w:w="0" w:type="dxa"/>
            <w:bottom w:w="0" w:type="dxa"/>
          </w:tblCellMar>
        </w:tblPrEx>
        <w:trPr>
          <w:trHeight w:val="300"/>
        </w:trPr>
        <w:tc>
          <w:tcPr>
            <w:tcW w:w="9072" w:type="dxa"/>
            <w:gridSpan w:val="6"/>
            <w:tcBorders>
              <w:top w:val="nil"/>
              <w:left w:val="nil"/>
              <w:bottom w:val="single" w:sz="4" w:space="0" w:color="auto"/>
              <w:right w:val="nil"/>
            </w:tcBorders>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avec huile PCB pure </w:t>
            </w:r>
          </w:p>
        </w:tc>
      </w:tr>
      <w:tr w:rsidR="00803C36">
        <w:tblPrEx>
          <w:tblCellMar>
            <w:top w:w="0" w:type="dxa"/>
            <w:bottom w:w="0" w:type="dxa"/>
          </w:tblCellMar>
        </w:tblPrEx>
        <w:trPr>
          <w:trHeight w:val="300"/>
        </w:trPr>
        <w:tc>
          <w:tcPr>
            <w:tcW w:w="1919"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817"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741"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457"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150"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988"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19"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lang w:val="fr-FR"/>
              </w:rPr>
            </w:pPr>
            <w:r>
              <w:rPr>
                <w:rFonts w:ascii="Times New Roman" w:hAnsi="Times New Roman"/>
                <w:i/>
                <w:iCs/>
                <w:sz w:val="20"/>
                <w:szCs w:val="20"/>
                <w:lang w:val="fr-FR"/>
              </w:rPr>
              <w:t>En service</w:t>
            </w:r>
          </w:p>
        </w:tc>
        <w:tc>
          <w:tcPr>
            <w:tcW w:w="1817"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5</w:t>
            </w:r>
          </w:p>
        </w:tc>
        <w:tc>
          <w:tcPr>
            <w:tcW w:w="1741"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7.4</w:t>
            </w:r>
          </w:p>
        </w:tc>
        <w:tc>
          <w:tcPr>
            <w:tcW w:w="1457"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2.1</w:t>
            </w:r>
          </w:p>
        </w:tc>
        <w:tc>
          <w:tcPr>
            <w:tcW w:w="1150"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988"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Brazzaville</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4</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5.3</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1.6</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Pointe Noire</w:t>
            </w:r>
          </w:p>
        </w:tc>
        <w:tc>
          <w:tcPr>
            <w:tcW w:w="181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741"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2.1</w:t>
            </w:r>
          </w:p>
        </w:tc>
        <w:tc>
          <w:tcPr>
            <w:tcW w:w="145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0.6</w:t>
            </w:r>
          </w:p>
        </w:tc>
        <w:tc>
          <w:tcPr>
            <w:tcW w:w="1150"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988"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r>
              <w:rPr>
                <w:rFonts w:ascii="Times New Roman" w:hAnsi="Times New Roman"/>
                <w:i/>
                <w:iCs/>
                <w:sz w:val="20"/>
                <w:szCs w:val="20"/>
                <w:lang w:val="fr-FR"/>
              </w:rPr>
              <w:t>Hors Service</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1</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2.4</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0.7</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lastRenderedPageBreak/>
              <w:t>Pointe Noire</w:t>
            </w:r>
          </w:p>
        </w:tc>
        <w:tc>
          <w:tcPr>
            <w:tcW w:w="181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1</w:t>
            </w:r>
          </w:p>
        </w:tc>
        <w:tc>
          <w:tcPr>
            <w:tcW w:w="1741"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2.4</w:t>
            </w:r>
          </w:p>
        </w:tc>
        <w:tc>
          <w:tcPr>
            <w:tcW w:w="145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0.7</w:t>
            </w:r>
          </w:p>
        </w:tc>
        <w:tc>
          <w:tcPr>
            <w:tcW w:w="1150"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c>
          <w:tcPr>
            <w:tcW w:w="988"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Total</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6</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9.9</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2.8</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p>
        </w:tc>
      </w:tr>
      <w:tr w:rsidR="00803C36">
        <w:tblPrEx>
          <w:tblCellMar>
            <w:top w:w="0" w:type="dxa"/>
            <w:bottom w:w="0" w:type="dxa"/>
          </w:tblCellMar>
        </w:tblPrEx>
        <w:trPr>
          <w:trHeight w:val="300"/>
        </w:trPr>
        <w:tc>
          <w:tcPr>
            <w:tcW w:w="9072" w:type="dxa"/>
            <w:gridSpan w:val="6"/>
            <w:tcBorders>
              <w:top w:val="nil"/>
              <w:left w:val="nil"/>
              <w:bottom w:val="single" w:sz="4" w:space="0" w:color="auto"/>
              <w:right w:val="nil"/>
            </w:tcBorders>
          </w:tcPr>
          <w:p w:rsidR="00803C36" w:rsidRDefault="00803C36">
            <w:pPr>
              <w:autoSpaceDE w:val="0"/>
              <w:autoSpaceDN w:val="0"/>
              <w:adjustRightInd w:val="0"/>
              <w:spacing w:before="120" w:line="252" w:lineRule="auto"/>
              <w:rPr>
                <w:rFonts w:ascii="Times New Roman" w:hAnsi="Times New Roman"/>
                <w:i/>
                <w:iCs/>
                <w:lang w:val="fr-FR"/>
              </w:rPr>
            </w:pPr>
            <w:r>
              <w:rPr>
                <w:rFonts w:ascii="Times New Roman" w:hAnsi="Times New Roman"/>
                <w:i/>
                <w:iCs/>
                <w:lang w:val="fr-FR"/>
              </w:rPr>
              <w:t xml:space="preserve">Transformateurs avec huile PCB pure, manque d'information sur les poids de l'huile et du transformateur </w:t>
            </w:r>
          </w:p>
        </w:tc>
      </w:tr>
      <w:tr w:rsidR="00803C36">
        <w:tblPrEx>
          <w:tblCellMar>
            <w:top w:w="0" w:type="dxa"/>
            <w:bottom w:w="0" w:type="dxa"/>
          </w:tblCellMar>
        </w:tblPrEx>
        <w:trPr>
          <w:trHeight w:val="300"/>
        </w:trPr>
        <w:tc>
          <w:tcPr>
            <w:tcW w:w="1919"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i/>
                <w:iCs/>
                <w:sz w:val="20"/>
                <w:szCs w:val="20"/>
                <w:lang w:val="fr-FR"/>
              </w:rPr>
            </w:pPr>
          </w:p>
        </w:tc>
        <w:tc>
          <w:tcPr>
            <w:tcW w:w="1817"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Nombre de transformateurs</w:t>
            </w:r>
          </w:p>
        </w:tc>
        <w:tc>
          <w:tcPr>
            <w:tcW w:w="1741"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l’équipement (tonnes)</w:t>
            </w:r>
          </w:p>
        </w:tc>
        <w:tc>
          <w:tcPr>
            <w:tcW w:w="1457"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Masse totale de l’huile (tonnes)</w:t>
            </w:r>
          </w:p>
        </w:tc>
        <w:tc>
          <w:tcPr>
            <w:tcW w:w="1150"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en USD/tonne ou unité</w:t>
            </w:r>
          </w:p>
        </w:tc>
        <w:tc>
          <w:tcPr>
            <w:tcW w:w="988" w:type="dxa"/>
            <w:tcBorders>
              <w:top w:val="single" w:sz="4" w:space="0" w:color="auto"/>
              <w:left w:val="nil"/>
              <w:bottom w:val="single" w:sz="4" w:space="0" w:color="auto"/>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Coût total</w:t>
            </w:r>
          </w:p>
        </w:tc>
      </w:tr>
      <w:tr w:rsidR="00803C36">
        <w:tblPrEx>
          <w:tblCellMar>
            <w:top w:w="0" w:type="dxa"/>
            <w:bottom w:w="0" w:type="dxa"/>
          </w:tblCellMar>
        </w:tblPrEx>
        <w:trPr>
          <w:trHeight w:val="300"/>
        </w:trPr>
        <w:tc>
          <w:tcPr>
            <w:tcW w:w="1919"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i/>
                <w:iCs/>
                <w:sz w:val="20"/>
                <w:szCs w:val="20"/>
                <w:lang w:val="fr-FR"/>
              </w:rPr>
            </w:pPr>
            <w:r>
              <w:rPr>
                <w:rFonts w:ascii="Times New Roman" w:hAnsi="Times New Roman"/>
                <w:i/>
                <w:iCs/>
                <w:sz w:val="20"/>
                <w:szCs w:val="20"/>
                <w:lang w:val="fr-FR"/>
              </w:rPr>
              <w:t>Hors Service</w:t>
            </w:r>
          </w:p>
        </w:tc>
        <w:tc>
          <w:tcPr>
            <w:tcW w:w="1817"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w:t>
            </w:r>
          </w:p>
        </w:tc>
        <w:tc>
          <w:tcPr>
            <w:tcW w:w="1741" w:type="dxa"/>
            <w:tcBorders>
              <w:top w:val="single" w:sz="4" w:space="0" w:color="auto"/>
              <w:left w:val="nil"/>
              <w:bottom w:val="nil"/>
              <w:right w:val="nil"/>
            </w:tcBorders>
            <w:vAlign w:val="bottom"/>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color w:val="000000"/>
                <w:sz w:val="20"/>
                <w:szCs w:val="20"/>
                <w:lang w:val="fr-FR"/>
              </w:rPr>
              <w:t>-</w:t>
            </w:r>
          </w:p>
        </w:tc>
        <w:tc>
          <w:tcPr>
            <w:tcW w:w="1457" w:type="dxa"/>
            <w:tcBorders>
              <w:top w:val="single" w:sz="4" w:space="0" w:color="auto"/>
              <w:left w:val="nil"/>
              <w:bottom w:val="nil"/>
              <w:right w:val="nil"/>
            </w:tcBorders>
            <w:vAlign w:val="bottom"/>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color w:val="000000"/>
                <w:sz w:val="20"/>
                <w:szCs w:val="20"/>
                <w:lang w:val="fr-FR"/>
              </w:rPr>
              <w:t>-</w:t>
            </w:r>
          </w:p>
        </w:tc>
        <w:tc>
          <w:tcPr>
            <w:tcW w:w="1150"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c>
          <w:tcPr>
            <w:tcW w:w="988" w:type="dxa"/>
            <w:tcBorders>
              <w:top w:val="single" w:sz="4" w:space="0" w:color="auto"/>
              <w:left w:val="nil"/>
              <w:bottom w:val="nil"/>
              <w:right w:val="nil"/>
            </w:tcBorders>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sz w:val="20"/>
                <w:szCs w:val="20"/>
                <w:lang w:val="fr-FR"/>
              </w:rPr>
              <w:t>Pointe Noire</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sz w:val="20"/>
                <w:szCs w:val="20"/>
                <w:lang w:val="fr-FR"/>
              </w:rPr>
            </w:pPr>
            <w:r>
              <w:rPr>
                <w:rFonts w:ascii="Times New Roman" w:hAnsi="Times New Roman"/>
                <w:b/>
                <w:bCs/>
                <w:sz w:val="20"/>
                <w:szCs w:val="20"/>
                <w:lang w:val="fr-FR"/>
              </w:rPr>
              <w:t>2</w:t>
            </w:r>
          </w:p>
        </w:tc>
        <w:tc>
          <w:tcPr>
            <w:tcW w:w="1741" w:type="dxa"/>
            <w:tcBorders>
              <w:top w:val="nil"/>
              <w:left w:val="nil"/>
              <w:bottom w:val="nil"/>
              <w:right w:val="nil"/>
            </w:tcBorders>
            <w:shd w:val="clear" w:color="auto" w:fill="F2F2F2"/>
            <w:vAlign w:val="bottom"/>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color w:val="000000"/>
                <w:sz w:val="20"/>
                <w:szCs w:val="20"/>
                <w:lang w:val="fr-FR"/>
              </w:rPr>
              <w:t>-</w:t>
            </w:r>
          </w:p>
        </w:tc>
        <w:tc>
          <w:tcPr>
            <w:tcW w:w="1457" w:type="dxa"/>
            <w:tcBorders>
              <w:top w:val="nil"/>
              <w:left w:val="nil"/>
              <w:bottom w:val="nil"/>
              <w:right w:val="nil"/>
            </w:tcBorders>
            <w:shd w:val="clear" w:color="auto" w:fill="F2F2F2"/>
            <w:vAlign w:val="bottom"/>
          </w:tcPr>
          <w:p w:rsidR="00803C36" w:rsidRDefault="00803C36">
            <w:pPr>
              <w:autoSpaceDE w:val="0"/>
              <w:autoSpaceDN w:val="0"/>
              <w:adjustRightInd w:val="0"/>
              <w:spacing w:line="252" w:lineRule="auto"/>
              <w:rPr>
                <w:rFonts w:ascii="Times New Roman" w:hAnsi="Times New Roman"/>
                <w:color w:val="000000"/>
                <w:sz w:val="20"/>
                <w:szCs w:val="20"/>
                <w:lang w:val="fr-FR"/>
              </w:rPr>
            </w:pPr>
            <w:r>
              <w:rPr>
                <w:rFonts w:ascii="Times New Roman" w:hAnsi="Times New Roman"/>
                <w:color w:val="000000"/>
                <w:sz w:val="20"/>
                <w:szCs w:val="20"/>
                <w:lang w:val="fr-FR"/>
              </w:rPr>
              <w:t>-</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color w:val="000000"/>
                <w:sz w:val="20"/>
                <w:szCs w:val="20"/>
                <w:lang w:val="fr-FR"/>
              </w:rPr>
            </w:pPr>
          </w:p>
        </w:tc>
      </w:tr>
      <w:tr w:rsidR="00803C36">
        <w:tblPrEx>
          <w:tblCellMar>
            <w:top w:w="0" w:type="dxa"/>
            <w:bottom w:w="0" w:type="dxa"/>
          </w:tblCellMar>
        </w:tblPrEx>
        <w:trPr>
          <w:trHeight w:val="300"/>
        </w:trPr>
        <w:tc>
          <w:tcPr>
            <w:tcW w:w="1919"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Total</w:t>
            </w:r>
          </w:p>
        </w:tc>
        <w:tc>
          <w:tcPr>
            <w:tcW w:w="1817"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sz w:val="20"/>
                <w:szCs w:val="20"/>
                <w:lang w:val="fr-FR"/>
              </w:rPr>
            </w:pPr>
            <w:r>
              <w:rPr>
                <w:rFonts w:ascii="Times New Roman" w:hAnsi="Times New Roman"/>
                <w:sz w:val="20"/>
                <w:szCs w:val="20"/>
                <w:lang w:val="fr-FR"/>
              </w:rPr>
              <w:t>2</w:t>
            </w:r>
          </w:p>
        </w:tc>
        <w:tc>
          <w:tcPr>
            <w:tcW w:w="1741" w:type="dxa"/>
            <w:tcBorders>
              <w:top w:val="nil"/>
              <w:left w:val="nil"/>
              <w:bottom w:val="nil"/>
              <w:right w:val="nil"/>
            </w:tcBorders>
            <w:vAlign w:val="bottom"/>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color w:val="000000"/>
                <w:sz w:val="20"/>
                <w:szCs w:val="20"/>
                <w:lang w:val="fr-FR"/>
              </w:rPr>
              <w:t>-</w:t>
            </w:r>
          </w:p>
        </w:tc>
        <w:tc>
          <w:tcPr>
            <w:tcW w:w="1457" w:type="dxa"/>
            <w:tcBorders>
              <w:top w:val="nil"/>
              <w:left w:val="nil"/>
              <w:bottom w:val="nil"/>
              <w:right w:val="nil"/>
            </w:tcBorders>
            <w:vAlign w:val="bottom"/>
          </w:tcPr>
          <w:p w:rsidR="00803C36" w:rsidRDefault="00803C36">
            <w:pPr>
              <w:autoSpaceDE w:val="0"/>
              <w:autoSpaceDN w:val="0"/>
              <w:adjustRightInd w:val="0"/>
              <w:spacing w:line="252" w:lineRule="auto"/>
              <w:rPr>
                <w:rFonts w:ascii="Times New Roman" w:hAnsi="Times New Roman"/>
                <w:b/>
                <w:bCs/>
                <w:color w:val="000000"/>
                <w:sz w:val="20"/>
                <w:szCs w:val="20"/>
                <w:lang w:val="fr-FR"/>
              </w:rPr>
            </w:pPr>
            <w:r>
              <w:rPr>
                <w:rFonts w:ascii="Times New Roman" w:hAnsi="Times New Roman"/>
                <w:b/>
                <w:bCs/>
                <w:color w:val="000000"/>
                <w:sz w:val="20"/>
                <w:szCs w:val="20"/>
                <w:lang w:val="fr-FR"/>
              </w:rPr>
              <w:t>-</w:t>
            </w:r>
          </w:p>
        </w:tc>
        <w:tc>
          <w:tcPr>
            <w:tcW w:w="1150"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c>
          <w:tcPr>
            <w:tcW w:w="988" w:type="dxa"/>
            <w:tcBorders>
              <w:top w:val="nil"/>
              <w:left w:val="nil"/>
              <w:bottom w:val="nil"/>
              <w:right w:val="nil"/>
            </w:tcBorders>
          </w:tcPr>
          <w:p w:rsidR="00803C36" w:rsidRDefault="00803C36">
            <w:pPr>
              <w:autoSpaceDE w:val="0"/>
              <w:autoSpaceDN w:val="0"/>
              <w:adjustRightInd w:val="0"/>
              <w:spacing w:line="252" w:lineRule="auto"/>
              <w:rPr>
                <w:rFonts w:ascii="Times New Roman" w:hAnsi="Times New Roman"/>
                <w:b/>
                <w:bCs/>
                <w:color w:val="000000"/>
                <w:sz w:val="20"/>
                <w:szCs w:val="20"/>
                <w:lang w:val="fr-FR"/>
              </w:rPr>
            </w:pPr>
          </w:p>
        </w:tc>
      </w:tr>
      <w:tr w:rsidR="00803C36">
        <w:tblPrEx>
          <w:tblCellMar>
            <w:top w:w="0" w:type="dxa"/>
            <w:bottom w:w="0" w:type="dxa"/>
          </w:tblCellMar>
        </w:tblPrEx>
        <w:trPr>
          <w:trHeight w:val="900"/>
        </w:trPr>
        <w:tc>
          <w:tcPr>
            <w:tcW w:w="1919"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lang w:val="fr-FR"/>
              </w:rPr>
            </w:pPr>
            <w:r>
              <w:rPr>
                <w:rFonts w:ascii="Times New Roman" w:hAnsi="Times New Roman"/>
                <w:lang w:val="fr-FR"/>
              </w:rPr>
              <w:t>Total des transformateurs à expédier et à éliminer</w:t>
            </w:r>
          </w:p>
        </w:tc>
        <w:tc>
          <w:tcPr>
            <w:tcW w:w="181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12</w:t>
            </w:r>
          </w:p>
        </w:tc>
        <w:tc>
          <w:tcPr>
            <w:tcW w:w="1741"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15.5+</w:t>
            </w:r>
          </w:p>
        </w:tc>
        <w:tc>
          <w:tcPr>
            <w:tcW w:w="1457"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lang w:val="fr-FR"/>
              </w:rPr>
            </w:pPr>
            <w:r>
              <w:rPr>
                <w:rFonts w:ascii="Times New Roman" w:hAnsi="Times New Roman"/>
                <w:b/>
                <w:bCs/>
                <w:lang w:val="fr-FR"/>
              </w:rPr>
              <w:t>4.1+</w:t>
            </w:r>
          </w:p>
        </w:tc>
        <w:tc>
          <w:tcPr>
            <w:tcW w:w="1150"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lang w:val="fr-FR"/>
              </w:rPr>
            </w:pPr>
          </w:p>
        </w:tc>
        <w:tc>
          <w:tcPr>
            <w:tcW w:w="988" w:type="dxa"/>
            <w:tcBorders>
              <w:top w:val="nil"/>
              <w:left w:val="nil"/>
              <w:bottom w:val="nil"/>
              <w:right w:val="nil"/>
            </w:tcBorders>
            <w:shd w:val="clear" w:color="auto" w:fill="F2F2F2"/>
          </w:tcPr>
          <w:p w:rsidR="00803C36" w:rsidRDefault="00803C36">
            <w:pPr>
              <w:autoSpaceDE w:val="0"/>
              <w:autoSpaceDN w:val="0"/>
              <w:adjustRightInd w:val="0"/>
              <w:spacing w:line="252" w:lineRule="auto"/>
              <w:rPr>
                <w:rFonts w:ascii="Times New Roman" w:hAnsi="Times New Roman"/>
                <w:b/>
                <w:bCs/>
                <w:lang w:val="fr-FR"/>
              </w:rPr>
            </w:pPr>
          </w:p>
        </w:tc>
      </w:tr>
    </w:tbl>
    <w:p w:rsidR="00803C36" w:rsidRDefault="00803C36">
      <w:pPr>
        <w:autoSpaceDE w:val="0"/>
        <w:autoSpaceDN w:val="0"/>
        <w:adjustRightInd w:val="0"/>
        <w:spacing w:line="252" w:lineRule="auto"/>
        <w:jc w:val="both"/>
        <w:rPr>
          <w:rFonts w:ascii="Times New Roman" w:hAnsi="Times New Roman"/>
          <w:sz w:val="24"/>
          <w:szCs w:val="24"/>
          <w:lang w:val="fr-FR"/>
        </w:rPr>
      </w:pPr>
      <w:r>
        <w:rPr>
          <w:rFonts w:ascii="Times New Roman" w:hAnsi="Times New Roman"/>
          <w:sz w:val="24"/>
          <w:szCs w:val="24"/>
          <w:lang w:val="fr-FR"/>
        </w:rPr>
        <w:t>*deux petits transformateurs de distribution partiellement démantelés</w:t>
      </w:r>
    </w:p>
    <w:p w:rsidR="00803C36" w:rsidRDefault="00803C36">
      <w:pPr>
        <w:autoSpaceDE w:val="0"/>
        <w:autoSpaceDN w:val="0"/>
        <w:adjustRightInd w:val="0"/>
        <w:spacing w:line="252" w:lineRule="auto"/>
        <w:jc w:val="both"/>
        <w:rPr>
          <w:rFonts w:ascii="Times New Roman" w:hAnsi="Times New Roman"/>
          <w:lang w:val="fr-FR"/>
        </w:rPr>
      </w:pPr>
    </w:p>
    <w:p w:rsidR="00803C36" w:rsidRDefault="00803C36">
      <w:pPr>
        <w:autoSpaceDE w:val="0"/>
        <w:autoSpaceDN w:val="0"/>
        <w:adjustRightInd w:val="0"/>
        <w:spacing w:line="252" w:lineRule="auto"/>
        <w:jc w:val="both"/>
        <w:rPr>
          <w:rFonts w:ascii="Times New Roman" w:hAnsi="Times New Roman"/>
          <w:lang w:val="fr-FR"/>
        </w:rPr>
      </w:pPr>
      <w:r>
        <w:rPr>
          <w:rFonts w:ascii="Times New Roman" w:hAnsi="Times New Roman"/>
          <w:lang w:val="fr-FR"/>
        </w:rPr>
        <w:t xml:space="preserve">Remarque : Les métaux des transformateurs faiblement contaminés et hors service peuvent être valorisés par l’entreprise soumissionnaire. L’entreprise soumissionnaire souhaitant conserver les ressources estimées liées à la valorisation des métaux doit remplir la ligne E du tableau 10. Si l’entreprise ne souhaite pas conserver les ressources estimées liées à la valorisation des métaux, la valorisation du transformateur hors service sera laissée à l’entreprise détentrice au Congo une fois la décontamination effectuée.  </w:t>
      </w:r>
    </w:p>
    <w:p w:rsidR="0017356F" w:rsidRDefault="0017356F">
      <w:pPr>
        <w:autoSpaceDE w:val="0"/>
        <w:autoSpaceDN w:val="0"/>
        <w:adjustRightInd w:val="0"/>
        <w:spacing w:line="252" w:lineRule="auto"/>
        <w:jc w:val="both"/>
        <w:rPr>
          <w:rFonts w:ascii="Times New Roman" w:hAnsi="Times New Roman"/>
          <w:lang w:val="fr-FR"/>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4"/>
        <w:gridCol w:w="1377"/>
        <w:gridCol w:w="1255"/>
        <w:gridCol w:w="1103"/>
        <w:gridCol w:w="1276"/>
        <w:gridCol w:w="1327"/>
        <w:gridCol w:w="1224"/>
      </w:tblGrid>
      <w:tr w:rsidR="00803C36">
        <w:tblPrEx>
          <w:tblCellMar>
            <w:top w:w="0" w:type="dxa"/>
            <w:bottom w:w="0" w:type="dxa"/>
          </w:tblCellMar>
        </w:tblPrEx>
        <w:trPr>
          <w:trHeight w:val="60"/>
        </w:trPr>
        <w:tc>
          <w:tcPr>
            <w:tcW w:w="9776" w:type="dxa"/>
            <w:gridSpan w:val="7"/>
            <w:tcBorders>
              <w:top w:val="single" w:sz="4" w:space="0" w:color="auto"/>
              <w:bottom w:val="single" w:sz="4" w:space="0" w:color="auto"/>
            </w:tcBorders>
          </w:tcPr>
          <w:p w:rsidR="00803C36" w:rsidRDefault="00803C36">
            <w:pPr>
              <w:autoSpaceDE w:val="0"/>
              <w:autoSpaceDN w:val="0"/>
              <w:adjustRightInd w:val="0"/>
              <w:spacing w:before="120" w:after="120" w:line="252" w:lineRule="auto"/>
              <w:rPr>
                <w:rFonts w:ascii="Calibri" w:hAnsi="Calibri" w:cs="Calibri"/>
                <w:b/>
                <w:bCs/>
                <w:lang w:val="fr-FR"/>
              </w:rPr>
            </w:pPr>
            <w:r>
              <w:rPr>
                <w:rFonts w:ascii="Calibri" w:hAnsi="Calibri" w:cs="Calibri"/>
                <w:b/>
                <w:bCs/>
                <w:lang w:val="fr-FR"/>
              </w:rPr>
              <w:t>Tableau 9: Services de formation</w:t>
            </w:r>
          </w:p>
        </w:tc>
      </w:tr>
      <w:tr w:rsidR="00803C36">
        <w:tblPrEx>
          <w:tblCellMar>
            <w:top w:w="0" w:type="dxa"/>
            <w:bottom w:w="0" w:type="dxa"/>
          </w:tblCellMar>
        </w:tblPrEx>
        <w:trPr>
          <w:trHeight w:val="277"/>
        </w:trPr>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A</w:t>
            </w:r>
          </w:p>
        </w:tc>
        <w:tc>
          <w:tcPr>
            <w:tcW w:w="1255"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B</w:t>
            </w:r>
          </w:p>
        </w:tc>
        <w:tc>
          <w:tcPr>
            <w:tcW w:w="1103"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w:t>
            </w:r>
          </w:p>
        </w:tc>
        <w:tc>
          <w:tcPr>
            <w:tcW w:w="1276"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D</w:t>
            </w:r>
            <w:proofErr w:type="gramStart"/>
            <w:r>
              <w:rPr>
                <w:rFonts w:ascii="Calibri" w:hAnsi="Calibri" w:cs="Calibri"/>
                <w:lang w:val="fr-FR"/>
              </w:rPr>
              <w:t>=(</w:t>
            </w:r>
            <w:proofErr w:type="gramEnd"/>
            <w:r>
              <w:rPr>
                <w:rFonts w:ascii="Calibri" w:hAnsi="Calibri" w:cs="Calibri"/>
                <w:lang w:val="fr-FR"/>
              </w:rPr>
              <w:t>A+B)*C</w:t>
            </w:r>
          </w:p>
        </w:tc>
        <w:tc>
          <w:tcPr>
            <w:tcW w:w="132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E</w:t>
            </w:r>
          </w:p>
        </w:tc>
        <w:tc>
          <w:tcPr>
            <w:tcW w:w="1224" w:type="dxa"/>
            <w:tcBorders>
              <w:top w:val="single" w:sz="4" w:space="0" w:color="auto"/>
              <w:left w:val="single" w:sz="4" w:space="0" w:color="auto"/>
              <w:bottom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F=D+E</w:t>
            </w:r>
          </w:p>
        </w:tc>
      </w:tr>
      <w:tr w:rsidR="00803C36">
        <w:tblPrEx>
          <w:tblCellMar>
            <w:top w:w="0" w:type="dxa"/>
            <w:bottom w:w="0" w:type="dxa"/>
          </w:tblCellMar>
        </w:tblPrEx>
        <w:trPr>
          <w:trHeight w:val="1689"/>
        </w:trPr>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 xml:space="preserve">Formation </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Nombre de jours de formation</w:t>
            </w:r>
          </w:p>
        </w:tc>
        <w:tc>
          <w:tcPr>
            <w:tcW w:w="1255"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Nombre de jours de préparation à la formation</w:t>
            </w:r>
          </w:p>
        </w:tc>
        <w:tc>
          <w:tcPr>
            <w:tcW w:w="1103"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Nombre de formateurs</w:t>
            </w:r>
          </w:p>
        </w:tc>
        <w:tc>
          <w:tcPr>
            <w:tcW w:w="1276"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 xml:space="preserve">Coût des ressources humaines </w:t>
            </w:r>
          </w:p>
        </w:tc>
        <w:tc>
          <w:tcPr>
            <w:tcW w:w="132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Coût divers  (impression du matériel, compensation journalière des formateurs)</w:t>
            </w:r>
          </w:p>
        </w:tc>
        <w:tc>
          <w:tcPr>
            <w:tcW w:w="1224" w:type="dxa"/>
            <w:tcBorders>
              <w:top w:val="single" w:sz="4" w:space="0" w:color="auto"/>
              <w:left w:val="single" w:sz="4" w:space="0" w:color="auto"/>
              <w:bottom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Coût total</w:t>
            </w: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t xml:space="preserve">Formation 1 à Brazzaville </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t>Formation 2 à Brazzaville</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lastRenderedPageBreak/>
              <w:t>Formation 1 à Pointe-Noire</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t>Formation 2 à Pointe-Noire</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t xml:space="preserve">Formation 1 à  </w:t>
            </w:r>
            <w:proofErr w:type="spellStart"/>
            <w:r>
              <w:rPr>
                <w:rFonts w:ascii="Calibri" w:hAnsi="Calibri" w:cs="Calibri"/>
                <w:lang w:val="fr-FR"/>
              </w:rPr>
              <w:t>Bouansa</w:t>
            </w:r>
            <w:proofErr w:type="spellEnd"/>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rPr>
                <w:rFonts w:ascii="Calibri" w:hAnsi="Calibri" w:cs="Calibri"/>
                <w:lang w:val="fr-FR"/>
              </w:rPr>
            </w:pPr>
            <w:r>
              <w:rPr>
                <w:rFonts w:ascii="Calibri" w:hAnsi="Calibri" w:cs="Calibri"/>
                <w:lang w:val="fr-FR"/>
              </w:rPr>
              <w:t xml:space="preserve">Formation 2 à  </w:t>
            </w:r>
            <w:proofErr w:type="spellStart"/>
            <w:r>
              <w:rPr>
                <w:rFonts w:ascii="Calibri" w:hAnsi="Calibri" w:cs="Calibri"/>
                <w:lang w:val="fr-FR"/>
              </w:rPr>
              <w:t>Bouansa</w:t>
            </w:r>
            <w:proofErr w:type="spellEnd"/>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1</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2214"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Total</w:t>
            </w:r>
          </w:p>
        </w:tc>
        <w:tc>
          <w:tcPr>
            <w:tcW w:w="1377"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6</w:t>
            </w:r>
          </w:p>
        </w:tc>
        <w:tc>
          <w:tcPr>
            <w:tcW w:w="1255"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103"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327" w:type="dxa"/>
            <w:tcBorders>
              <w:top w:val="single" w:sz="4" w:space="0" w:color="auto"/>
              <w:left w:val="single" w:sz="4" w:space="0" w:color="auto"/>
              <w:bottom w:val="single" w:sz="4" w:space="0" w:color="auto"/>
              <w:right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c>
          <w:tcPr>
            <w:tcW w:w="1224"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bl>
    <w:p w:rsidR="00803C36" w:rsidRDefault="00803C36">
      <w:pPr>
        <w:autoSpaceDE w:val="0"/>
        <w:autoSpaceDN w:val="0"/>
        <w:adjustRightInd w:val="0"/>
        <w:spacing w:line="252" w:lineRule="auto"/>
        <w:jc w:val="both"/>
        <w:rPr>
          <w:rFonts w:ascii="Times New Roman" w:hAnsi="Times New Roman"/>
          <w:highlight w:val="yellow"/>
          <w:lang w:val="fr-FR"/>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2693"/>
      </w:tblGrid>
      <w:tr w:rsidR="00803C36">
        <w:tblPrEx>
          <w:tblCellMar>
            <w:top w:w="0" w:type="dxa"/>
            <w:bottom w:w="0" w:type="dxa"/>
          </w:tblCellMar>
        </w:tblPrEx>
        <w:tc>
          <w:tcPr>
            <w:tcW w:w="9781" w:type="dxa"/>
            <w:gridSpan w:val="3"/>
            <w:tcBorders>
              <w:top w:val="single" w:sz="4" w:space="0" w:color="auto"/>
              <w:bottom w:val="single" w:sz="4" w:space="0" w:color="auto"/>
            </w:tcBorders>
          </w:tcPr>
          <w:p w:rsidR="00803C36" w:rsidRDefault="00803C36">
            <w:pPr>
              <w:autoSpaceDE w:val="0"/>
              <w:autoSpaceDN w:val="0"/>
              <w:adjustRightInd w:val="0"/>
              <w:spacing w:before="120" w:after="120" w:line="252" w:lineRule="auto"/>
              <w:rPr>
                <w:rFonts w:ascii="Calibri" w:hAnsi="Calibri" w:cs="Calibri"/>
                <w:b/>
                <w:bCs/>
                <w:lang w:val="fr-FR"/>
              </w:rPr>
            </w:pPr>
            <w:r>
              <w:rPr>
                <w:rFonts w:ascii="Calibri" w:hAnsi="Calibri" w:cs="Calibri"/>
                <w:b/>
                <w:bCs/>
                <w:lang w:val="fr-FR"/>
              </w:rPr>
              <w:t>Tableau 10. Coût total (USD) de la prestation de services (sommes des coûts totaux des tableaux 1 ; 2 et 3)</w:t>
            </w:r>
          </w:p>
          <w:p w:rsidR="00803C36" w:rsidRDefault="00803C36">
            <w:pPr>
              <w:autoSpaceDE w:val="0"/>
              <w:autoSpaceDN w:val="0"/>
              <w:adjustRightInd w:val="0"/>
              <w:spacing w:before="120" w:after="120" w:line="252" w:lineRule="auto"/>
              <w:jc w:val="center"/>
              <w:rPr>
                <w:rFonts w:ascii="Calibri" w:hAnsi="Calibri" w:cs="Calibri"/>
                <w:b/>
                <w:bCs/>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A</w:t>
            </w: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Coût total des services de décontamination des équipements faiblement ou moyennement contaminés jusqu’à 2000 ppm</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B</w:t>
            </w: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Coût total des services d’élimination des déchets (transformateurs et huile contaminée) contenant des PCB au-delà de 2000 ppm</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C</w:t>
            </w: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 xml:space="preserve">Coût total de la formation </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D</w:t>
            </w: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Autres coûts (participations à des réunions avec l’équipe de projet)</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E</w:t>
            </w: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lang w:val="fr-FR"/>
              </w:rPr>
            </w:pPr>
            <w:r>
              <w:rPr>
                <w:rFonts w:ascii="Calibri" w:hAnsi="Calibri" w:cs="Calibri"/>
                <w:lang w:val="fr-FR"/>
              </w:rPr>
              <w:t>Gain estimés liés à la récupération des métaux des transformateurs faiblement contaminés et hors services (si applicable)</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r w:rsidR="00803C36">
        <w:tblPrEx>
          <w:tblCellMar>
            <w:top w:w="0" w:type="dxa"/>
            <w:bottom w:w="0" w:type="dxa"/>
          </w:tblCellMar>
        </w:tblPrEx>
        <w:tc>
          <w:tcPr>
            <w:tcW w:w="709" w:type="dxa"/>
            <w:tcBorders>
              <w:top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b/>
                <w:bCs/>
                <w:lang w:val="fr-FR"/>
              </w:rPr>
            </w:pPr>
          </w:p>
        </w:tc>
        <w:tc>
          <w:tcPr>
            <w:tcW w:w="6379" w:type="dxa"/>
            <w:tcBorders>
              <w:top w:val="single" w:sz="4" w:space="0" w:color="auto"/>
              <w:left w:val="single" w:sz="4" w:space="0" w:color="auto"/>
              <w:bottom w:val="single" w:sz="4" w:space="0" w:color="auto"/>
              <w:right w:val="single" w:sz="4" w:space="0" w:color="auto"/>
            </w:tcBorders>
          </w:tcPr>
          <w:p w:rsidR="00803C36" w:rsidRDefault="00803C36">
            <w:pPr>
              <w:autoSpaceDE w:val="0"/>
              <w:autoSpaceDN w:val="0"/>
              <w:adjustRightInd w:val="0"/>
              <w:spacing w:before="120" w:after="120" w:line="252" w:lineRule="auto"/>
              <w:jc w:val="both"/>
              <w:rPr>
                <w:rFonts w:ascii="Calibri" w:hAnsi="Calibri" w:cs="Calibri"/>
                <w:b/>
                <w:bCs/>
                <w:lang w:val="fr-FR"/>
              </w:rPr>
            </w:pPr>
            <w:r>
              <w:rPr>
                <w:rFonts w:ascii="Calibri" w:hAnsi="Calibri" w:cs="Calibri"/>
                <w:b/>
                <w:bCs/>
                <w:lang w:val="fr-FR"/>
              </w:rPr>
              <w:t>Coût total (USD) A+B+C+D-E</w:t>
            </w:r>
          </w:p>
        </w:tc>
        <w:tc>
          <w:tcPr>
            <w:tcW w:w="2693" w:type="dxa"/>
            <w:tcBorders>
              <w:top w:val="single" w:sz="4" w:space="0" w:color="auto"/>
              <w:left w:val="single" w:sz="4" w:space="0" w:color="auto"/>
              <w:bottom w:val="single" w:sz="4" w:space="0" w:color="auto"/>
            </w:tcBorders>
            <w:shd w:val="clear" w:color="auto" w:fill="D0CECE"/>
          </w:tcPr>
          <w:p w:rsidR="00803C36" w:rsidRDefault="00803C36">
            <w:pPr>
              <w:autoSpaceDE w:val="0"/>
              <w:autoSpaceDN w:val="0"/>
              <w:adjustRightInd w:val="0"/>
              <w:spacing w:before="120" w:after="120" w:line="252" w:lineRule="auto"/>
              <w:jc w:val="both"/>
              <w:rPr>
                <w:rFonts w:ascii="Calibri" w:hAnsi="Calibri" w:cs="Calibri"/>
                <w:lang w:val="fr-FR"/>
              </w:rPr>
            </w:pPr>
          </w:p>
        </w:tc>
      </w:tr>
    </w:tbl>
    <w:p w:rsidR="00803C36" w:rsidRDefault="00803C36">
      <w:pPr>
        <w:autoSpaceDE w:val="0"/>
        <w:autoSpaceDN w:val="0"/>
        <w:adjustRightInd w:val="0"/>
        <w:spacing w:line="252" w:lineRule="auto"/>
        <w:jc w:val="both"/>
        <w:rPr>
          <w:rFonts w:ascii="Times New Roman" w:hAnsi="Times New Roman"/>
          <w:highlight w:val="yellow"/>
          <w:lang w:val="fr-FR"/>
        </w:rPr>
      </w:pPr>
    </w:p>
    <w:tbl>
      <w:tblPr>
        <w:tblW w:w="0" w:type="auto"/>
        <w:tblInd w:w="113" w:type="dxa"/>
        <w:tblLayout w:type="fixed"/>
        <w:tblLook w:val="0000" w:firstRow="0" w:lastRow="0" w:firstColumn="0" w:lastColumn="0" w:noHBand="0" w:noVBand="0"/>
      </w:tblPr>
      <w:tblGrid>
        <w:gridCol w:w="4262"/>
        <w:gridCol w:w="5519"/>
      </w:tblGrid>
      <w:tr w:rsidR="00803C36">
        <w:tblPrEx>
          <w:tblCellMar>
            <w:top w:w="0" w:type="dxa"/>
            <w:bottom w:w="0" w:type="dxa"/>
          </w:tblCellMar>
        </w:tblPrEx>
        <w:tc>
          <w:tcPr>
            <w:tcW w:w="9781" w:type="dxa"/>
            <w:gridSpan w:val="2"/>
            <w:tcBorders>
              <w:top w:val="single" w:sz="4" w:space="0" w:color="000000"/>
              <w:left w:val="single" w:sz="4" w:space="0" w:color="000000"/>
              <w:bottom w:val="single" w:sz="4" w:space="0" w:color="000000"/>
              <w:right w:val="single" w:sz="4" w:space="0" w:color="000000"/>
            </w:tcBorders>
          </w:tcPr>
          <w:p w:rsidR="00803C36" w:rsidRDefault="00803C36">
            <w:pPr>
              <w:autoSpaceDE w:val="0"/>
              <w:autoSpaceDN w:val="0"/>
              <w:adjustRightInd w:val="0"/>
              <w:spacing w:before="120" w:after="120" w:line="252" w:lineRule="auto"/>
              <w:jc w:val="both"/>
              <w:rPr>
                <w:rFonts w:ascii="Times New Roman" w:hAnsi="Times New Roman"/>
                <w:b/>
                <w:bCs/>
                <w:sz w:val="20"/>
                <w:szCs w:val="20"/>
                <w:lang w:val="fr-FR"/>
              </w:rPr>
            </w:pPr>
            <w:r>
              <w:rPr>
                <w:rFonts w:ascii="Times New Roman" w:hAnsi="Times New Roman"/>
                <w:b/>
                <w:bCs/>
                <w:sz w:val="20"/>
                <w:szCs w:val="20"/>
                <w:lang w:val="fr-FR"/>
              </w:rPr>
              <w:t>Conformité aux spécifications de l’appel d’offres</w:t>
            </w:r>
          </w:p>
        </w:tc>
      </w:tr>
      <w:tr w:rsidR="00803C36">
        <w:tblPrEx>
          <w:tblCellMar>
            <w:top w:w="0" w:type="dxa"/>
            <w:bottom w:w="0" w:type="dxa"/>
          </w:tblCellMar>
        </w:tblPrEx>
        <w:tc>
          <w:tcPr>
            <w:tcW w:w="4262" w:type="dxa"/>
            <w:tcBorders>
              <w:top w:val="single" w:sz="4" w:space="0" w:color="000000"/>
              <w:left w:val="single" w:sz="4" w:space="0" w:color="000000"/>
              <w:bottom w:val="single" w:sz="4" w:space="0" w:color="000000"/>
              <w:right w:val="nil"/>
            </w:tcBorders>
          </w:tcPr>
          <w:p w:rsidR="00803C36" w:rsidRDefault="00803C36">
            <w:pPr>
              <w:autoSpaceDE w:val="0"/>
              <w:autoSpaceDN w:val="0"/>
              <w:adjustRightInd w:val="0"/>
              <w:spacing w:before="120" w:after="120" w:line="252" w:lineRule="auto"/>
              <w:jc w:val="both"/>
              <w:rPr>
                <w:rFonts w:ascii="Times New Roman" w:hAnsi="Times New Roman"/>
                <w:sz w:val="20"/>
                <w:szCs w:val="20"/>
                <w:lang w:val="fr-FR"/>
              </w:rPr>
            </w:pPr>
            <w:r>
              <w:rPr>
                <w:rFonts w:ascii="Times New Roman" w:hAnsi="Times New Roman"/>
                <w:sz w:val="20"/>
                <w:szCs w:val="20"/>
                <w:lang w:val="fr-FR"/>
              </w:rPr>
              <w:t>Votre offre financière est-elle conforme au cahier des charges ?</w:t>
            </w:r>
          </w:p>
        </w:tc>
        <w:tc>
          <w:tcPr>
            <w:tcW w:w="5519" w:type="dxa"/>
            <w:tcBorders>
              <w:top w:val="single" w:sz="4" w:space="0" w:color="000000"/>
              <w:left w:val="single" w:sz="4" w:space="0" w:color="000000"/>
              <w:bottom w:val="single" w:sz="4" w:space="0" w:color="000000"/>
              <w:right w:val="single" w:sz="4" w:space="0" w:color="000000"/>
            </w:tcBorders>
            <w:shd w:val="clear" w:color="auto" w:fill="CCCCCC"/>
          </w:tcPr>
          <w:p w:rsidR="00803C36" w:rsidRDefault="00803C36">
            <w:pPr>
              <w:autoSpaceDE w:val="0"/>
              <w:autoSpaceDN w:val="0"/>
              <w:adjustRightInd w:val="0"/>
              <w:spacing w:before="120" w:after="120" w:line="252" w:lineRule="auto"/>
              <w:rPr>
                <w:rFonts w:ascii="Times New Roman" w:hAnsi="Times New Roman"/>
                <w:i/>
                <w:iCs/>
                <w:sz w:val="20"/>
                <w:szCs w:val="20"/>
                <w:lang w:val="fr-FR"/>
              </w:rPr>
            </w:pPr>
            <w:r>
              <w:rPr>
                <w:rFonts w:ascii="Times New Roman" w:hAnsi="Times New Roman"/>
                <w:i/>
                <w:iCs/>
                <w:sz w:val="20"/>
                <w:szCs w:val="20"/>
                <w:lang w:val="fr-FR"/>
              </w:rPr>
              <w:t>(Oui ou Non)</w:t>
            </w:r>
          </w:p>
        </w:tc>
      </w:tr>
      <w:tr w:rsidR="00803C36">
        <w:tblPrEx>
          <w:tblCellMar>
            <w:top w:w="0" w:type="dxa"/>
            <w:bottom w:w="0" w:type="dxa"/>
          </w:tblCellMar>
        </w:tblPrEx>
        <w:tc>
          <w:tcPr>
            <w:tcW w:w="4262" w:type="dxa"/>
            <w:tcBorders>
              <w:top w:val="single" w:sz="4" w:space="0" w:color="000000"/>
              <w:left w:val="single" w:sz="4" w:space="0" w:color="000000"/>
              <w:bottom w:val="single" w:sz="4" w:space="0" w:color="000000"/>
              <w:right w:val="nil"/>
            </w:tcBorders>
          </w:tcPr>
          <w:p w:rsidR="00803C36" w:rsidRDefault="00803C36">
            <w:pPr>
              <w:autoSpaceDE w:val="0"/>
              <w:autoSpaceDN w:val="0"/>
              <w:adjustRightInd w:val="0"/>
              <w:spacing w:before="120" w:after="120" w:line="252" w:lineRule="auto"/>
              <w:jc w:val="both"/>
              <w:rPr>
                <w:rFonts w:ascii="Times New Roman" w:hAnsi="Times New Roman"/>
                <w:sz w:val="20"/>
                <w:szCs w:val="20"/>
                <w:lang w:val="fr-FR"/>
              </w:rPr>
            </w:pPr>
            <w:r>
              <w:rPr>
                <w:rFonts w:ascii="Times New Roman" w:hAnsi="Times New Roman"/>
                <w:sz w:val="20"/>
                <w:szCs w:val="20"/>
                <w:lang w:val="fr-FR"/>
              </w:rPr>
              <w:t>Si ce n’est pas le cas, indiquez les écarts :</w:t>
            </w:r>
          </w:p>
        </w:tc>
        <w:tc>
          <w:tcPr>
            <w:tcW w:w="5519" w:type="dxa"/>
            <w:tcBorders>
              <w:top w:val="single" w:sz="4" w:space="0" w:color="000000"/>
              <w:left w:val="single" w:sz="4" w:space="0" w:color="000000"/>
              <w:bottom w:val="single" w:sz="4" w:space="0" w:color="000000"/>
              <w:right w:val="single" w:sz="4" w:space="0" w:color="000000"/>
            </w:tcBorders>
            <w:shd w:val="clear" w:color="auto" w:fill="CCCCCC"/>
          </w:tcPr>
          <w:p w:rsidR="00803C36" w:rsidRDefault="00803C36">
            <w:pPr>
              <w:autoSpaceDE w:val="0"/>
              <w:autoSpaceDN w:val="0"/>
              <w:adjustRightInd w:val="0"/>
              <w:spacing w:before="120" w:after="120" w:line="252" w:lineRule="auto"/>
              <w:jc w:val="both"/>
              <w:rPr>
                <w:rFonts w:ascii="Times New Roman" w:hAnsi="Times New Roman"/>
                <w:sz w:val="20"/>
                <w:szCs w:val="20"/>
                <w:lang w:val="fr-FR"/>
              </w:rPr>
            </w:pPr>
          </w:p>
        </w:tc>
      </w:tr>
    </w:tbl>
    <w:p w:rsidR="00803C36" w:rsidRDefault="00803C36">
      <w:pPr>
        <w:autoSpaceDE w:val="0"/>
        <w:autoSpaceDN w:val="0"/>
        <w:adjustRightInd w:val="0"/>
        <w:spacing w:line="252" w:lineRule="auto"/>
        <w:jc w:val="both"/>
        <w:rPr>
          <w:rFonts w:ascii="Times New Roman" w:hAnsi="Times New Roman"/>
          <w:highlight w:val="yellow"/>
          <w:lang w:val="fr-FR"/>
        </w:rPr>
      </w:pPr>
      <w:bookmarkStart w:id="0" w:name="_GoBack"/>
      <w:bookmarkEnd w:id="0"/>
    </w:p>
    <w:sectPr w:rsidR="00803C3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F"/>
    <w:rsid w:val="0017356F"/>
    <w:rsid w:val="003D6ECA"/>
    <w:rsid w:val="00803C36"/>
    <w:rsid w:val="0098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4C90C9-5504-4337-ACF0-40438B39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mission</cp:lastModifiedBy>
  <cp:revision>2</cp:revision>
  <dcterms:created xsi:type="dcterms:W3CDTF">2021-04-15T17:16:00Z</dcterms:created>
  <dcterms:modified xsi:type="dcterms:W3CDTF">2021-04-15T17:16:00Z</dcterms:modified>
</cp:coreProperties>
</file>